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15E99" w14:textId="77777777" w:rsidR="006C0333" w:rsidRPr="009B5697" w:rsidRDefault="00B019F6" w:rsidP="009B5697">
      <w:pPr>
        <w:spacing w:before="100" w:beforeAutospacing="1" w:after="100" w:afterAutospacing="1"/>
        <w:outlineLvl w:val="0"/>
        <w:rPr>
          <w:b/>
          <w:bCs/>
          <w:kern w:val="36"/>
          <w:sz w:val="44"/>
          <w:szCs w:val="48"/>
        </w:rPr>
      </w:pPr>
      <w:bookmarkStart w:id="0" w:name="_GoBack"/>
      <w:bookmarkEnd w:id="0"/>
      <w:r w:rsidRPr="009B5697">
        <w:rPr>
          <w:b/>
          <w:bCs/>
          <w:kern w:val="36"/>
          <w:sz w:val="44"/>
          <w:szCs w:val="48"/>
        </w:rPr>
        <w:t xml:space="preserve">ON </w:t>
      </w:r>
      <w:r w:rsidR="000576F4" w:rsidRPr="009B5697">
        <w:rPr>
          <w:b/>
          <w:bCs/>
          <w:kern w:val="36"/>
          <w:sz w:val="44"/>
          <w:szCs w:val="48"/>
        </w:rPr>
        <w:t>THE ROLE</w:t>
      </w:r>
      <w:r w:rsidR="006C0333" w:rsidRPr="009B5697">
        <w:rPr>
          <w:b/>
          <w:bCs/>
          <w:kern w:val="36"/>
          <w:sz w:val="44"/>
          <w:szCs w:val="48"/>
        </w:rPr>
        <w:t xml:space="preserve"> OF </w:t>
      </w:r>
      <w:r w:rsidR="000576F4" w:rsidRPr="009B5697">
        <w:rPr>
          <w:b/>
          <w:bCs/>
          <w:kern w:val="36"/>
          <w:sz w:val="44"/>
          <w:szCs w:val="48"/>
        </w:rPr>
        <w:t xml:space="preserve">BELIEF IN </w:t>
      </w:r>
      <w:r w:rsidR="006C0333" w:rsidRPr="009B5697">
        <w:rPr>
          <w:b/>
          <w:bCs/>
          <w:kern w:val="36"/>
          <w:sz w:val="44"/>
          <w:szCs w:val="48"/>
        </w:rPr>
        <w:t>LAW AND LEGAL THEORY</w:t>
      </w:r>
    </w:p>
    <w:p w14:paraId="66715E9A" w14:textId="77777777" w:rsidR="00382849" w:rsidRDefault="00382849" w:rsidP="009B5697">
      <w:pPr>
        <w:autoSpaceDE w:val="0"/>
        <w:autoSpaceDN w:val="0"/>
        <w:adjustRightInd w:val="0"/>
        <w:jc w:val="both"/>
        <w:rPr>
          <w:rFonts w:ascii="Times-Roman" w:hAnsi="Times-Roman" w:cs="Times-Roman"/>
          <w:b/>
          <w:sz w:val="22"/>
          <w:szCs w:val="22"/>
        </w:rPr>
      </w:pPr>
    </w:p>
    <w:p w14:paraId="66715E9B" w14:textId="77777777" w:rsidR="00382849" w:rsidRDefault="00382849" w:rsidP="009B5697">
      <w:pPr>
        <w:autoSpaceDE w:val="0"/>
        <w:autoSpaceDN w:val="0"/>
        <w:adjustRightInd w:val="0"/>
        <w:jc w:val="both"/>
        <w:rPr>
          <w:rFonts w:ascii="Times-Roman" w:hAnsi="Times-Roman" w:cs="Times-Roman"/>
          <w:sz w:val="22"/>
          <w:szCs w:val="22"/>
        </w:rPr>
      </w:pPr>
      <w:r>
        <w:rPr>
          <w:rFonts w:ascii="Times-Roman" w:hAnsi="Times-Roman" w:cs="Times-Roman"/>
          <w:sz w:val="22"/>
          <w:szCs w:val="22"/>
        </w:rPr>
        <w:t>DAVID S. CAUDILL, Professor and Arthur M. Goldberg Family Chair in Law, Villanova University School of Law, Villanova, Pennsylvania, USA</w:t>
      </w:r>
    </w:p>
    <w:p w14:paraId="66715E9C" w14:textId="77777777" w:rsidR="00382849" w:rsidRDefault="00382849" w:rsidP="009B5697">
      <w:pPr>
        <w:autoSpaceDE w:val="0"/>
        <w:autoSpaceDN w:val="0"/>
        <w:adjustRightInd w:val="0"/>
        <w:jc w:val="both"/>
        <w:rPr>
          <w:rFonts w:ascii="Times-Roman" w:hAnsi="Times-Roman" w:cs="Times-Roman"/>
          <w:sz w:val="22"/>
          <w:szCs w:val="22"/>
        </w:rPr>
      </w:pPr>
    </w:p>
    <w:p w14:paraId="66715E9D" w14:textId="77777777" w:rsidR="00AF4676" w:rsidRDefault="00AF4676" w:rsidP="009B5697">
      <w:pPr>
        <w:autoSpaceDE w:val="0"/>
        <w:autoSpaceDN w:val="0"/>
        <w:adjustRightInd w:val="0"/>
        <w:jc w:val="both"/>
        <w:rPr>
          <w:rFonts w:ascii="Times-Roman" w:hAnsi="Times-Roman" w:cs="Times-Roman"/>
          <w:sz w:val="22"/>
          <w:szCs w:val="22"/>
        </w:rPr>
      </w:pPr>
    </w:p>
    <w:p w14:paraId="66715E9E" w14:textId="77777777" w:rsidR="00382849" w:rsidRPr="00382849" w:rsidRDefault="00382849" w:rsidP="009B5697">
      <w:pPr>
        <w:autoSpaceDE w:val="0"/>
        <w:autoSpaceDN w:val="0"/>
        <w:adjustRightInd w:val="0"/>
        <w:jc w:val="both"/>
        <w:rPr>
          <w:rFonts w:ascii="Times-Roman" w:hAnsi="Times-Roman" w:cs="Times-Roman"/>
          <w:sz w:val="22"/>
          <w:szCs w:val="22"/>
        </w:rPr>
      </w:pPr>
      <w:r>
        <w:rPr>
          <w:rFonts w:ascii="Times-Roman" w:hAnsi="Times-Roman" w:cs="Times-Roman"/>
          <w:sz w:val="22"/>
          <w:szCs w:val="22"/>
        </w:rPr>
        <w:t xml:space="preserve">[This essay is based </w:t>
      </w:r>
      <w:r w:rsidR="00B019F6">
        <w:rPr>
          <w:rFonts w:ascii="Times-Roman" w:hAnsi="Times-Roman" w:cs="Times-Roman"/>
          <w:sz w:val="22"/>
          <w:szCs w:val="22"/>
        </w:rPr>
        <w:t xml:space="preserve">in part </w:t>
      </w:r>
      <w:r>
        <w:rPr>
          <w:rFonts w:ascii="Times-Roman" w:hAnsi="Times-Roman" w:cs="Times-Roman"/>
          <w:sz w:val="22"/>
          <w:szCs w:val="22"/>
        </w:rPr>
        <w:t xml:space="preserve">upon and contains excerpts from (i) “On Realism’s Own ‘Hangover’ of Natural Law Philosophy: Llewellyn </w:t>
      </w:r>
      <w:r w:rsidRPr="00382849">
        <w:rPr>
          <w:rFonts w:ascii="Times-Roman" w:hAnsi="Times-Roman" w:cs="Times-Roman"/>
          <w:i/>
          <w:sz w:val="22"/>
          <w:szCs w:val="22"/>
        </w:rPr>
        <w:t>Avec</w:t>
      </w:r>
      <w:r>
        <w:rPr>
          <w:rFonts w:ascii="Times-Roman" w:hAnsi="Times-Roman" w:cs="Times-Roman"/>
          <w:sz w:val="22"/>
          <w:szCs w:val="22"/>
        </w:rPr>
        <w:t xml:space="preserve"> </w:t>
      </w:r>
      <w:proofErr w:type="spellStart"/>
      <w:r>
        <w:rPr>
          <w:rFonts w:ascii="Times-Roman" w:hAnsi="Times-Roman" w:cs="Times-Roman"/>
          <w:sz w:val="22"/>
          <w:szCs w:val="22"/>
        </w:rPr>
        <w:t>Dooyeweerd</w:t>
      </w:r>
      <w:proofErr w:type="spellEnd"/>
      <w:r>
        <w:rPr>
          <w:rFonts w:ascii="Times-Roman" w:hAnsi="Times-Roman" w:cs="Times-Roman"/>
          <w:sz w:val="22"/>
          <w:szCs w:val="22"/>
        </w:rPr>
        <w:t xml:space="preserve">,” in </w:t>
      </w:r>
      <w:r w:rsidRPr="00382849">
        <w:rPr>
          <w:rFonts w:ascii="Times-Roman" w:hAnsi="Times-Roman" w:cs="Times-Roman"/>
          <w:i/>
          <w:sz w:val="22"/>
          <w:szCs w:val="22"/>
        </w:rPr>
        <w:t>On Philosophy in American Law</w:t>
      </w:r>
      <w:r>
        <w:rPr>
          <w:rFonts w:ascii="Times-Roman" w:hAnsi="Times-Roman" w:cs="Times-Roman"/>
          <w:sz w:val="22"/>
          <w:szCs w:val="22"/>
        </w:rPr>
        <w:t xml:space="preserve">, </w:t>
      </w:r>
      <w:r w:rsidR="00E91D1E">
        <w:rPr>
          <w:rFonts w:ascii="Times-Roman" w:hAnsi="Times-Roman" w:cs="Times-Roman"/>
          <w:sz w:val="22"/>
          <w:szCs w:val="22"/>
        </w:rPr>
        <w:t>(</w:t>
      </w:r>
      <w:r>
        <w:rPr>
          <w:rFonts w:ascii="Times-Roman" w:hAnsi="Times-Roman" w:cs="Times-Roman"/>
          <w:sz w:val="22"/>
          <w:szCs w:val="22"/>
        </w:rPr>
        <w:t xml:space="preserve">ed. F.J. </w:t>
      </w:r>
      <w:proofErr w:type="spellStart"/>
      <w:r>
        <w:rPr>
          <w:rFonts w:ascii="Times-Roman" w:hAnsi="Times-Roman" w:cs="Times-Roman"/>
          <w:sz w:val="22"/>
          <w:szCs w:val="22"/>
        </w:rPr>
        <w:t>Mootz</w:t>
      </w:r>
      <w:proofErr w:type="spellEnd"/>
      <w:r w:rsidR="00E91D1E">
        <w:rPr>
          <w:rFonts w:ascii="Times-Roman" w:hAnsi="Times-Roman" w:cs="Times-Roman"/>
          <w:sz w:val="22"/>
          <w:szCs w:val="22"/>
        </w:rPr>
        <w:t xml:space="preserve">, </w:t>
      </w:r>
      <w:r>
        <w:rPr>
          <w:rFonts w:ascii="Times-Roman" w:hAnsi="Times-Roman" w:cs="Times-Roman"/>
          <w:sz w:val="22"/>
          <w:szCs w:val="22"/>
        </w:rPr>
        <w:t xml:space="preserve">Cambridge U.P. 2009), and (ii) “Christian Legal Theory: The Example of </w:t>
      </w:r>
      <w:proofErr w:type="spellStart"/>
      <w:r>
        <w:rPr>
          <w:rFonts w:ascii="Times-Roman" w:hAnsi="Times-Roman" w:cs="Times-Roman"/>
          <w:sz w:val="22"/>
          <w:szCs w:val="22"/>
        </w:rPr>
        <w:t>Dooyeweerd’s</w:t>
      </w:r>
      <w:proofErr w:type="spellEnd"/>
      <w:r>
        <w:rPr>
          <w:rFonts w:ascii="Times-Roman" w:hAnsi="Times-Roman" w:cs="Times-Roman"/>
          <w:sz w:val="22"/>
          <w:szCs w:val="22"/>
        </w:rPr>
        <w:t xml:space="preserve"> Critique of Romanist Individualism and Germanic Communi</w:t>
      </w:r>
      <w:r w:rsidR="00421B42">
        <w:rPr>
          <w:rFonts w:ascii="Times-Roman" w:hAnsi="Times-Roman" w:cs="Times-Roman"/>
          <w:sz w:val="22"/>
          <w:szCs w:val="22"/>
        </w:rPr>
        <w:t>tarianism</w:t>
      </w:r>
      <w:r>
        <w:rPr>
          <w:rFonts w:ascii="Times-Roman" w:hAnsi="Times-Roman" w:cs="Times-Roman"/>
          <w:sz w:val="22"/>
          <w:szCs w:val="22"/>
        </w:rPr>
        <w:t xml:space="preserve"> in Property Law,” </w:t>
      </w:r>
      <w:r w:rsidRPr="00B019F6">
        <w:rPr>
          <w:rFonts w:ascii="Times-Roman" w:hAnsi="Times-Roman" w:cs="Times-Roman"/>
          <w:i/>
          <w:sz w:val="22"/>
          <w:szCs w:val="22"/>
        </w:rPr>
        <w:t>Georgetown Journal of Law &amp; Public Policy</w:t>
      </w:r>
      <w:r>
        <w:rPr>
          <w:rFonts w:ascii="Times-Roman" w:hAnsi="Times-Roman" w:cs="Times-Roman"/>
          <w:sz w:val="22"/>
          <w:szCs w:val="22"/>
        </w:rPr>
        <w:t>, vol. 5, pp. 531-60 (2007).]</w:t>
      </w:r>
    </w:p>
    <w:p w14:paraId="66715E9F" w14:textId="77777777" w:rsidR="006C0333" w:rsidRPr="009B5697" w:rsidRDefault="006C0333" w:rsidP="009B5697">
      <w:pPr>
        <w:jc w:val="both"/>
        <w:rPr>
          <w:sz w:val="22"/>
        </w:rPr>
      </w:pPr>
    </w:p>
    <w:p w14:paraId="66715EA0" w14:textId="77777777" w:rsidR="00E91D1E" w:rsidRPr="009B5697" w:rsidRDefault="00E91D1E" w:rsidP="009B5697">
      <w:pPr>
        <w:jc w:val="both"/>
        <w:rPr>
          <w:sz w:val="22"/>
        </w:rPr>
      </w:pPr>
    </w:p>
    <w:p w14:paraId="66715EA1" w14:textId="77777777" w:rsidR="00C747E5" w:rsidRPr="009B5697" w:rsidRDefault="00C747E5" w:rsidP="009B5697">
      <w:pPr>
        <w:spacing w:before="100" w:beforeAutospacing="1" w:after="100" w:afterAutospacing="1"/>
        <w:outlineLvl w:val="1"/>
        <w:rPr>
          <w:b/>
          <w:bCs/>
          <w:sz w:val="36"/>
          <w:szCs w:val="36"/>
        </w:rPr>
      </w:pPr>
      <w:r w:rsidRPr="009B5697">
        <w:rPr>
          <w:b/>
          <w:bCs/>
          <w:sz w:val="36"/>
          <w:szCs w:val="36"/>
        </w:rPr>
        <w:t xml:space="preserve">Introduction:  </w:t>
      </w:r>
      <w:proofErr w:type="spellStart"/>
      <w:r w:rsidRPr="009B5697">
        <w:rPr>
          <w:b/>
          <w:bCs/>
          <w:sz w:val="36"/>
          <w:szCs w:val="36"/>
        </w:rPr>
        <w:t>Dooyeweerd</w:t>
      </w:r>
      <w:proofErr w:type="spellEnd"/>
      <w:r w:rsidRPr="009B5697">
        <w:rPr>
          <w:b/>
          <w:bCs/>
          <w:sz w:val="36"/>
          <w:szCs w:val="36"/>
        </w:rPr>
        <w:t xml:space="preserve"> and Llewellyn</w:t>
      </w:r>
    </w:p>
    <w:p w14:paraId="66715EA2" w14:textId="77777777" w:rsidR="00C747E5" w:rsidRDefault="00C747E5" w:rsidP="009B5697">
      <w:pPr>
        <w:jc w:val="both"/>
        <w:rPr>
          <w:sz w:val="22"/>
        </w:rPr>
      </w:pPr>
      <w:r>
        <w:rPr>
          <w:sz w:val="22"/>
        </w:rPr>
        <w:t xml:space="preserve">The great Legal Realist </w:t>
      </w:r>
      <w:r w:rsidRPr="00AF4676">
        <w:rPr>
          <w:sz w:val="22"/>
        </w:rPr>
        <w:t>Karl Llewellyn</w:t>
      </w:r>
      <w:r>
        <w:rPr>
          <w:sz w:val="22"/>
        </w:rPr>
        <w:t xml:space="preserve"> (1893-1962)</w:t>
      </w:r>
      <w:r w:rsidR="007D62FD">
        <w:rPr>
          <w:sz w:val="22"/>
        </w:rPr>
        <w:t>,</w:t>
      </w:r>
      <w:r w:rsidRPr="00AF4676">
        <w:rPr>
          <w:sz w:val="22"/>
        </w:rPr>
        <w:t xml:space="preserve"> in </w:t>
      </w:r>
      <w:r w:rsidR="00BB59C8">
        <w:rPr>
          <w:sz w:val="22"/>
        </w:rPr>
        <w:t>a</w:t>
      </w:r>
      <w:r w:rsidR="007D62FD">
        <w:rPr>
          <w:sz w:val="22"/>
        </w:rPr>
        <w:t xml:space="preserve"> </w:t>
      </w:r>
      <w:r w:rsidRPr="00AF4676">
        <w:rPr>
          <w:sz w:val="22"/>
        </w:rPr>
        <w:t xml:space="preserve">1934 </w:t>
      </w:r>
      <w:r w:rsidR="007D62FD">
        <w:rPr>
          <w:sz w:val="22"/>
        </w:rPr>
        <w:t xml:space="preserve">essay on </w:t>
      </w:r>
      <w:r w:rsidRPr="00AF4676">
        <w:rPr>
          <w:sz w:val="22"/>
        </w:rPr>
        <w:t>the state of philosophy in American law (Llewellyn 1934), identified a sense in which we were, and I believe still are, all natural lawyers.  (It is only a sense, because we are obviously not all formal adherents of the natural law tradition.  But natural law, in a sense, is the fallback position for all of us.)  And that sense on Llewellyn’s part provides an unlikel</w:t>
      </w:r>
      <w:r>
        <w:rPr>
          <w:sz w:val="22"/>
        </w:rPr>
        <w:t>y link to</w:t>
      </w:r>
      <w:r w:rsidRPr="00AF4676">
        <w:rPr>
          <w:sz w:val="22"/>
        </w:rPr>
        <w:t xml:space="preserve"> Llewellyn</w:t>
      </w:r>
      <w:r>
        <w:rPr>
          <w:sz w:val="22"/>
        </w:rPr>
        <w:t xml:space="preserve">’s contemporary, </w:t>
      </w:r>
      <w:r w:rsidRPr="00AF4676">
        <w:rPr>
          <w:sz w:val="22"/>
        </w:rPr>
        <w:t xml:space="preserve">the Dutch legal theorist Herman </w:t>
      </w:r>
      <w:proofErr w:type="spellStart"/>
      <w:r w:rsidRPr="00AF4676">
        <w:rPr>
          <w:sz w:val="22"/>
        </w:rPr>
        <w:t>Doo</w:t>
      </w:r>
      <w:r>
        <w:rPr>
          <w:sz w:val="22"/>
        </w:rPr>
        <w:t>yeweerd</w:t>
      </w:r>
      <w:proofErr w:type="spellEnd"/>
      <w:r>
        <w:rPr>
          <w:sz w:val="22"/>
        </w:rPr>
        <w:t xml:space="preserve">.  </w:t>
      </w:r>
    </w:p>
    <w:p w14:paraId="66715EA3" w14:textId="77777777" w:rsidR="009B5697" w:rsidRPr="00AF4676" w:rsidRDefault="009B5697" w:rsidP="009B5697">
      <w:pPr>
        <w:jc w:val="both"/>
        <w:rPr>
          <w:i/>
          <w:sz w:val="22"/>
        </w:rPr>
      </w:pPr>
    </w:p>
    <w:p w14:paraId="66715EA4" w14:textId="77777777" w:rsidR="00C747E5" w:rsidRDefault="00C747E5" w:rsidP="009B5697">
      <w:pPr>
        <w:jc w:val="both"/>
        <w:rPr>
          <w:sz w:val="22"/>
        </w:rPr>
      </w:pPr>
      <w:r w:rsidRPr="00AF4676">
        <w:rPr>
          <w:sz w:val="22"/>
        </w:rPr>
        <w:tab/>
        <w:t xml:space="preserve">Herman </w:t>
      </w:r>
      <w:proofErr w:type="spellStart"/>
      <w:r w:rsidRPr="00AF4676">
        <w:rPr>
          <w:sz w:val="22"/>
        </w:rPr>
        <w:t>Dooyeweerd</w:t>
      </w:r>
      <w:proofErr w:type="spellEnd"/>
      <w:r>
        <w:rPr>
          <w:sz w:val="22"/>
        </w:rPr>
        <w:t xml:space="preserve"> (1884-1977)</w:t>
      </w:r>
      <w:r w:rsidR="008C6940">
        <w:rPr>
          <w:sz w:val="22"/>
        </w:rPr>
        <w:t>, a professor</w:t>
      </w:r>
      <w:r w:rsidRPr="00AF4676">
        <w:rPr>
          <w:sz w:val="22"/>
        </w:rPr>
        <w:t xml:space="preserve"> at the </w:t>
      </w:r>
      <w:proofErr w:type="spellStart"/>
      <w:r w:rsidRPr="00AF4676">
        <w:rPr>
          <w:sz w:val="22"/>
        </w:rPr>
        <w:t>Vrije</w:t>
      </w:r>
      <w:proofErr w:type="spellEnd"/>
      <w:r w:rsidRPr="00AF4676">
        <w:rPr>
          <w:sz w:val="22"/>
        </w:rPr>
        <w:t xml:space="preserve"> </w:t>
      </w:r>
      <w:proofErr w:type="spellStart"/>
      <w:r w:rsidRPr="00AF4676">
        <w:rPr>
          <w:sz w:val="22"/>
        </w:rPr>
        <w:t>Universiteit</w:t>
      </w:r>
      <w:proofErr w:type="spellEnd"/>
      <w:r w:rsidRPr="00AF4676">
        <w:rPr>
          <w:sz w:val="22"/>
        </w:rPr>
        <w:t xml:space="preserve"> </w:t>
      </w:r>
      <w:proofErr w:type="spellStart"/>
      <w:proofErr w:type="gramStart"/>
      <w:r w:rsidRPr="00AF4676">
        <w:rPr>
          <w:sz w:val="22"/>
        </w:rPr>
        <w:t>te</w:t>
      </w:r>
      <w:proofErr w:type="spellEnd"/>
      <w:proofErr w:type="gramEnd"/>
      <w:r w:rsidRPr="00AF4676">
        <w:rPr>
          <w:sz w:val="22"/>
        </w:rPr>
        <w:t xml:space="preserve"> Amsterdam from 1926-1965</w:t>
      </w:r>
      <w:r>
        <w:rPr>
          <w:sz w:val="22"/>
        </w:rPr>
        <w:t>,</w:t>
      </w:r>
      <w:r w:rsidRPr="00AF4676">
        <w:rPr>
          <w:sz w:val="22"/>
        </w:rPr>
        <w:t xml:space="preserve"> developed </w:t>
      </w:r>
      <w:r>
        <w:rPr>
          <w:sz w:val="22"/>
        </w:rPr>
        <w:t xml:space="preserve">(in over 200 articles and books) </w:t>
      </w:r>
      <w:r w:rsidR="008C6940">
        <w:rPr>
          <w:sz w:val="22"/>
        </w:rPr>
        <w:t xml:space="preserve">a complex philosophical system </w:t>
      </w:r>
      <w:r w:rsidRPr="00AF4676">
        <w:rPr>
          <w:sz w:val="22"/>
        </w:rPr>
        <w:t xml:space="preserve">based on </w:t>
      </w:r>
      <w:r>
        <w:rPr>
          <w:sz w:val="22"/>
        </w:rPr>
        <w:t>the</w:t>
      </w:r>
      <w:r w:rsidRPr="00AF4676">
        <w:rPr>
          <w:sz w:val="22"/>
        </w:rPr>
        <w:t xml:space="preserve"> n</w:t>
      </w:r>
      <w:r>
        <w:rPr>
          <w:sz w:val="22"/>
        </w:rPr>
        <w:t xml:space="preserve">eo-Calvinism of Abraham </w:t>
      </w:r>
      <w:proofErr w:type="spellStart"/>
      <w:r>
        <w:rPr>
          <w:sz w:val="22"/>
        </w:rPr>
        <w:t>Kuyper</w:t>
      </w:r>
      <w:proofErr w:type="spellEnd"/>
      <w:r>
        <w:rPr>
          <w:sz w:val="22"/>
        </w:rPr>
        <w:t xml:space="preserve"> (1837-1920) but</w:t>
      </w:r>
      <w:r w:rsidRPr="00AF4676">
        <w:rPr>
          <w:sz w:val="22"/>
        </w:rPr>
        <w:t xml:space="preserve"> </w:t>
      </w:r>
      <w:r>
        <w:rPr>
          <w:sz w:val="22"/>
        </w:rPr>
        <w:t>also influenced</w:t>
      </w:r>
      <w:r w:rsidRPr="00AF4676">
        <w:rPr>
          <w:sz w:val="22"/>
        </w:rPr>
        <w:t xml:space="preserve"> by Neo-Kantianism and Phenomenology.  </w:t>
      </w:r>
      <w:r w:rsidR="008C6940">
        <w:rPr>
          <w:sz w:val="22"/>
        </w:rPr>
        <w:t xml:space="preserve">However, </w:t>
      </w:r>
      <w:r w:rsidRPr="00AF4676">
        <w:rPr>
          <w:sz w:val="22"/>
        </w:rPr>
        <w:t xml:space="preserve">like Llewellyn, </w:t>
      </w:r>
      <w:proofErr w:type="spellStart"/>
      <w:r w:rsidR="008C6940">
        <w:rPr>
          <w:sz w:val="22"/>
        </w:rPr>
        <w:t>Dooyeweerd</w:t>
      </w:r>
      <w:proofErr w:type="spellEnd"/>
      <w:r w:rsidR="008C6940">
        <w:rPr>
          <w:sz w:val="22"/>
        </w:rPr>
        <w:t xml:space="preserve"> </w:t>
      </w:r>
      <w:r w:rsidRPr="00AF4676">
        <w:rPr>
          <w:sz w:val="22"/>
        </w:rPr>
        <w:t>was trained in law, not</w:t>
      </w:r>
      <w:r>
        <w:rPr>
          <w:sz w:val="22"/>
        </w:rPr>
        <w:t xml:space="preserve"> philosophy</w:t>
      </w:r>
      <w:r w:rsidRPr="00AF4676">
        <w:rPr>
          <w:sz w:val="22"/>
        </w:rPr>
        <w:t xml:space="preserve">.  As Llewellyn was writing “On Philosophy in American Law” (Llewellyn 1934), </w:t>
      </w:r>
      <w:proofErr w:type="spellStart"/>
      <w:r w:rsidRPr="00AF4676">
        <w:rPr>
          <w:sz w:val="22"/>
        </w:rPr>
        <w:t>Dooyeweerd</w:t>
      </w:r>
      <w:proofErr w:type="spellEnd"/>
      <w:r w:rsidRPr="00AF4676">
        <w:rPr>
          <w:sz w:val="22"/>
        </w:rPr>
        <w:t xml:space="preserve"> was completing </w:t>
      </w:r>
      <w:r w:rsidRPr="00AF4676">
        <w:rPr>
          <w:i/>
          <w:iCs/>
          <w:sz w:val="22"/>
        </w:rPr>
        <w:t xml:space="preserve">De </w:t>
      </w:r>
      <w:proofErr w:type="spellStart"/>
      <w:r w:rsidRPr="00AF4676">
        <w:rPr>
          <w:i/>
          <w:iCs/>
          <w:sz w:val="22"/>
        </w:rPr>
        <w:t>wijsbegeerte</w:t>
      </w:r>
      <w:proofErr w:type="spellEnd"/>
      <w:r w:rsidRPr="00AF4676">
        <w:rPr>
          <w:i/>
          <w:iCs/>
          <w:sz w:val="22"/>
        </w:rPr>
        <w:t xml:space="preserve"> der </w:t>
      </w:r>
      <w:proofErr w:type="spellStart"/>
      <w:r w:rsidRPr="00AF4676">
        <w:rPr>
          <w:i/>
          <w:iCs/>
          <w:sz w:val="22"/>
        </w:rPr>
        <w:t>wetsidee</w:t>
      </w:r>
      <w:proofErr w:type="spellEnd"/>
      <w:r>
        <w:rPr>
          <w:sz w:val="22"/>
        </w:rPr>
        <w:t xml:space="preserve"> </w:t>
      </w:r>
      <w:r w:rsidRPr="00AF4676">
        <w:rPr>
          <w:sz w:val="22"/>
        </w:rPr>
        <w:t xml:space="preserve"> (</w:t>
      </w:r>
      <w:proofErr w:type="spellStart"/>
      <w:r w:rsidRPr="00AF4676">
        <w:rPr>
          <w:sz w:val="22"/>
        </w:rPr>
        <w:t>Dooyeweerd</w:t>
      </w:r>
      <w:proofErr w:type="spellEnd"/>
      <w:r w:rsidRPr="00AF4676">
        <w:rPr>
          <w:sz w:val="22"/>
        </w:rPr>
        <w:t xml:space="preserve"> 1935-36) (translated into English as </w:t>
      </w:r>
      <w:r w:rsidRPr="00AF4676">
        <w:rPr>
          <w:i/>
          <w:iCs/>
          <w:sz w:val="22"/>
        </w:rPr>
        <w:t>A New Critique of Theoretical Thought</w:t>
      </w:r>
      <w:r w:rsidRPr="00AF4676">
        <w:rPr>
          <w:sz w:val="22"/>
        </w:rPr>
        <w:t xml:space="preserve"> (</w:t>
      </w:r>
      <w:proofErr w:type="spellStart"/>
      <w:r w:rsidRPr="00AF4676">
        <w:rPr>
          <w:sz w:val="22"/>
        </w:rPr>
        <w:t>Dooyeweerd</w:t>
      </w:r>
      <w:proofErr w:type="spellEnd"/>
      <w:r w:rsidRPr="00AF4676">
        <w:rPr>
          <w:sz w:val="22"/>
        </w:rPr>
        <w:t xml:space="preserve"> 1953-58)).  </w:t>
      </w:r>
      <w:proofErr w:type="spellStart"/>
      <w:r w:rsidRPr="00AF4676">
        <w:rPr>
          <w:sz w:val="22"/>
        </w:rPr>
        <w:t>Dooyeweerd’s</w:t>
      </w:r>
      <w:proofErr w:type="spellEnd"/>
      <w:r w:rsidRPr="00AF4676">
        <w:rPr>
          <w:sz w:val="22"/>
        </w:rPr>
        <w:t xml:space="preserve"> 4-volume work has a lot in common with, and offers exhaustive support for, some of the philosophical concerns in Llewellyn’s 8-page essay.</w:t>
      </w:r>
    </w:p>
    <w:p w14:paraId="66715EA5" w14:textId="77777777" w:rsidR="00C747E5" w:rsidRPr="00AF4676" w:rsidRDefault="00C747E5" w:rsidP="009B5697">
      <w:pPr>
        <w:jc w:val="both"/>
        <w:rPr>
          <w:sz w:val="22"/>
        </w:rPr>
      </w:pPr>
    </w:p>
    <w:p w14:paraId="66715EA6" w14:textId="77777777" w:rsidR="00C747E5" w:rsidRPr="000A7F24" w:rsidRDefault="00C747E5" w:rsidP="000A7F24">
      <w:pPr>
        <w:spacing w:before="100" w:beforeAutospacing="1" w:after="100" w:afterAutospacing="1"/>
        <w:outlineLvl w:val="1"/>
        <w:rPr>
          <w:b/>
          <w:bCs/>
          <w:sz w:val="36"/>
          <w:szCs w:val="36"/>
        </w:rPr>
      </w:pPr>
      <w:r w:rsidRPr="000A7F24">
        <w:rPr>
          <w:b/>
          <w:bCs/>
          <w:sz w:val="36"/>
          <w:szCs w:val="36"/>
        </w:rPr>
        <w:t>Philosophy as a Belief-System</w:t>
      </w:r>
    </w:p>
    <w:p w14:paraId="66715EA7" w14:textId="77777777" w:rsidR="00C747E5" w:rsidRDefault="00C747E5" w:rsidP="009B5697">
      <w:pPr>
        <w:jc w:val="both"/>
        <w:rPr>
          <w:sz w:val="22"/>
        </w:rPr>
      </w:pPr>
      <w:r w:rsidRPr="00AF4676">
        <w:rPr>
          <w:sz w:val="22"/>
        </w:rPr>
        <w:t>Despite its brevity, Llewellyn’s</w:t>
      </w:r>
      <w:r w:rsidRPr="00AF4676">
        <w:rPr>
          <w:b/>
          <w:bCs/>
          <w:sz w:val="22"/>
        </w:rPr>
        <w:t xml:space="preserve"> </w:t>
      </w:r>
      <w:r w:rsidRPr="00AF4676">
        <w:rPr>
          <w:sz w:val="22"/>
        </w:rPr>
        <w:t xml:space="preserve">essay is overflowing with concerns about philosophy.  But because of its brevity, the essay does not clearly define the term “philosophy.”  Llewellyn begins with the term “theory,” quoting Pareto, as something that a “man” makes and that “men” accept (Llewellyn 1934: 205); later in the essay Llewellyn will say philosophies are also “invented” and sometimes adopted in society.  Then Llewellyn says there is no shortage of theories </w:t>
      </w:r>
      <w:r w:rsidRPr="00AF4676">
        <w:rPr>
          <w:i/>
          <w:iCs/>
          <w:sz w:val="22"/>
        </w:rPr>
        <w:t>or</w:t>
      </w:r>
      <w:r w:rsidRPr="00AF4676">
        <w:rPr>
          <w:sz w:val="22"/>
        </w:rPr>
        <w:t xml:space="preserve"> “of philosophies,” but later on </w:t>
      </w:r>
      <w:proofErr w:type="spellStart"/>
      <w:r w:rsidRPr="00AF4676">
        <w:rPr>
          <w:sz w:val="22"/>
        </w:rPr>
        <w:t>he</w:t>
      </w:r>
      <w:proofErr w:type="spellEnd"/>
      <w:r w:rsidRPr="00AF4676">
        <w:rPr>
          <w:sz w:val="22"/>
        </w:rPr>
        <w:t xml:space="preserve"> conflates the philosophy of natural law, natural law thinking or approaches, and the theory of right reason.  Ambiguities aside, Llewellyn discusses philosophy in one of its traditional senses as a centralized and foundational discipline, preceding more specific theories and functioning as an organizing theory of </w:t>
      </w:r>
      <w:r w:rsidRPr="00AF4676">
        <w:rPr>
          <w:i/>
          <w:iCs/>
          <w:sz w:val="22"/>
        </w:rPr>
        <w:t>theory</w:t>
      </w:r>
      <w:r w:rsidRPr="00AF4676">
        <w:rPr>
          <w:sz w:val="22"/>
        </w:rPr>
        <w:t xml:space="preserve"> itself.  Even as Llewellyn focuses on </w:t>
      </w:r>
      <w:r w:rsidRPr="00AF4676">
        <w:rPr>
          <w:sz w:val="22"/>
        </w:rPr>
        <w:lastRenderedPageBreak/>
        <w:t>legal philosophy, he explores its influence as a generalized source of fundamental values and ideals, like justice and morality – it supplies “needs,” and it tells us what is right or sound or desirable when difficult choices are made.  And a legal philosophy has legs – it provides an atmosphere and has influence without regard to whether its “adherents” recognize or can give an account of it.  This seem</w:t>
      </w:r>
      <w:r w:rsidR="007B224A">
        <w:rPr>
          <w:sz w:val="22"/>
        </w:rPr>
        <w:t>s to add another level or feature</w:t>
      </w:r>
      <w:r w:rsidRPr="00AF4676">
        <w:rPr>
          <w:sz w:val="22"/>
        </w:rPr>
        <w:t xml:space="preserve"> to the Realist claim that legal decisions often involve extralegal factors, in addition to doctrine or precedent, such as a judge’s personal bias, economic interests, strategically employed language, social class, or political views.  Each of these factors, Llewellyn suggests, can probably be traced to an explicit or implicit philosophical orientation that merits our attention.  This is not to say that the forces </w:t>
      </w:r>
      <w:r w:rsidR="00BB77BE">
        <w:rPr>
          <w:sz w:val="22"/>
        </w:rPr>
        <w:t xml:space="preserve">affecting law that are </w:t>
      </w:r>
      <w:r w:rsidRPr="00AF4676">
        <w:rPr>
          <w:sz w:val="22"/>
        </w:rPr>
        <w:t>identified by social scientists, psychologists, or language theorists are not significant, but rather to say that philosophy is also an important enterprise.</w:t>
      </w:r>
    </w:p>
    <w:p w14:paraId="66715EA8" w14:textId="77777777" w:rsidR="009B5697" w:rsidRPr="00AF4676" w:rsidRDefault="009B5697" w:rsidP="009B5697">
      <w:pPr>
        <w:jc w:val="both"/>
        <w:rPr>
          <w:sz w:val="22"/>
        </w:rPr>
      </w:pPr>
    </w:p>
    <w:p w14:paraId="66715EA9" w14:textId="77777777" w:rsidR="00C747E5" w:rsidRDefault="00C747E5" w:rsidP="009B5697">
      <w:pPr>
        <w:ind w:firstLine="720"/>
        <w:jc w:val="both"/>
        <w:rPr>
          <w:sz w:val="22"/>
        </w:rPr>
      </w:pPr>
      <w:r w:rsidRPr="00AF4676">
        <w:rPr>
          <w:sz w:val="22"/>
        </w:rPr>
        <w:t xml:space="preserve"> I agree </w:t>
      </w:r>
      <w:r w:rsidR="008C6940">
        <w:rPr>
          <w:sz w:val="22"/>
        </w:rPr>
        <w:t xml:space="preserve">with the Realists </w:t>
      </w:r>
      <w:r w:rsidRPr="00AF4676">
        <w:rPr>
          <w:sz w:val="22"/>
        </w:rPr>
        <w:t>that law and legal doctrine are indeterminate, and that othe</w:t>
      </w:r>
      <w:r w:rsidR="00544E6A">
        <w:rPr>
          <w:sz w:val="22"/>
        </w:rPr>
        <w:t xml:space="preserve">r factors are in play. </w:t>
      </w:r>
      <w:r w:rsidRPr="00AF4676">
        <w:rPr>
          <w:sz w:val="22"/>
        </w:rPr>
        <w:t xml:space="preserve"> I even agree with Llewellyn that Realism is closer than any other jurisprudence to the actual behavior of the best lawyers, who know that precedents are incomplete and flexible, and that judicial personalities as well as their political, economic and moral prejudices are influential in the decision-making process, even when veiled by doctrinal rhetoric.  Critical Legal Studies (“CLS”), which updated Realism in terms of Neo-Marxism and French critical theory, likewise highlighted those aspects of law.  And even as CLS splintered into some versions of feminist legal theory, critical race theory, and postmodern approaches, its enduring legacy was the disclosure of ideology, belief-structures, and presuppositions that functioned as faith-like commitments in all legal-theoretical thought.  In </w:t>
      </w:r>
      <w:proofErr w:type="spellStart"/>
      <w:r w:rsidRPr="00AF4676">
        <w:rPr>
          <w:sz w:val="22"/>
        </w:rPr>
        <w:t>Llewellynian</w:t>
      </w:r>
      <w:proofErr w:type="spellEnd"/>
      <w:r w:rsidRPr="00AF4676">
        <w:rPr>
          <w:sz w:val="22"/>
        </w:rPr>
        <w:t xml:space="preserve"> terms, all jurisprudence has a natural law hangover, in the sense that it cannot avoid recourse to norms, values, or principles grounded in something that looks like a religious commitment, even when God is replaced by Reason, common sense, self-evident truths, or any understanding of the way things are and should be.</w:t>
      </w:r>
    </w:p>
    <w:p w14:paraId="66715EAA" w14:textId="77777777" w:rsidR="009B5697" w:rsidRPr="00AF4676" w:rsidRDefault="009B5697" w:rsidP="009B5697">
      <w:pPr>
        <w:ind w:firstLine="720"/>
        <w:jc w:val="both"/>
        <w:rPr>
          <w:sz w:val="22"/>
        </w:rPr>
      </w:pPr>
    </w:p>
    <w:p w14:paraId="66715EAB" w14:textId="77777777" w:rsidR="00C747E5" w:rsidRPr="00AF4676" w:rsidRDefault="00C747E5" w:rsidP="009B5697">
      <w:pPr>
        <w:jc w:val="both"/>
        <w:rPr>
          <w:sz w:val="22"/>
        </w:rPr>
      </w:pPr>
      <w:r w:rsidRPr="00AF4676">
        <w:rPr>
          <w:sz w:val="22"/>
        </w:rPr>
        <w:tab/>
        <w:t xml:space="preserve">That was the view of Herman </w:t>
      </w:r>
      <w:proofErr w:type="spellStart"/>
      <w:r w:rsidRPr="00AF4676">
        <w:rPr>
          <w:sz w:val="22"/>
        </w:rPr>
        <w:t>Dooyeweerd</w:t>
      </w:r>
      <w:proofErr w:type="spellEnd"/>
      <w:r w:rsidRPr="00AF4676">
        <w:rPr>
          <w:sz w:val="22"/>
        </w:rPr>
        <w:t>.  Having acknowledged his own religious starting point</w:t>
      </w:r>
      <w:r w:rsidR="009856A7">
        <w:rPr>
          <w:sz w:val="22"/>
        </w:rPr>
        <w:t xml:space="preserve"> (</w:t>
      </w:r>
      <w:proofErr w:type="spellStart"/>
      <w:r w:rsidR="009856A7">
        <w:rPr>
          <w:sz w:val="22"/>
        </w:rPr>
        <w:t>Reformational</w:t>
      </w:r>
      <w:proofErr w:type="spellEnd"/>
      <w:r w:rsidR="009856A7">
        <w:rPr>
          <w:sz w:val="22"/>
        </w:rPr>
        <w:t xml:space="preserve"> Chris</w:t>
      </w:r>
      <w:r w:rsidR="007150F6">
        <w:rPr>
          <w:sz w:val="22"/>
        </w:rPr>
        <w:t>tianity)</w:t>
      </w:r>
      <w:r w:rsidRPr="00AF4676">
        <w:rPr>
          <w:sz w:val="22"/>
        </w:rPr>
        <w:t xml:space="preserve">, </w:t>
      </w:r>
      <w:proofErr w:type="spellStart"/>
      <w:r w:rsidRPr="00AF4676">
        <w:rPr>
          <w:sz w:val="22"/>
        </w:rPr>
        <w:t>Dooyeweerd</w:t>
      </w:r>
      <w:proofErr w:type="spellEnd"/>
      <w:r w:rsidRPr="00AF4676">
        <w:rPr>
          <w:sz w:val="22"/>
        </w:rPr>
        <w:t xml:space="preserve"> went on to construct a normative theory of law that is both part of the natural law tradition and highly critical of many natural law conceptions.  For purposes of comparison to Llewellyn, however, </w:t>
      </w:r>
      <w:proofErr w:type="spellStart"/>
      <w:r w:rsidRPr="00AF4676">
        <w:rPr>
          <w:sz w:val="22"/>
        </w:rPr>
        <w:t>Dooyeweerd’s</w:t>
      </w:r>
      <w:proofErr w:type="spellEnd"/>
      <w:r w:rsidRPr="00AF4676">
        <w:rPr>
          <w:sz w:val="22"/>
        </w:rPr>
        <w:t xml:space="preserve"> critical method parallels the Realist effort to reveal the “heavily operative” factors (Llewellyn 1931: 1237) – apart from legal doctrine, itself indeterminate – that produce court decisions.  Like Llewellyn, </w:t>
      </w:r>
      <w:proofErr w:type="spellStart"/>
      <w:r w:rsidRPr="00AF4676">
        <w:rPr>
          <w:sz w:val="22"/>
        </w:rPr>
        <w:t>Dooyeweerd</w:t>
      </w:r>
      <w:proofErr w:type="spellEnd"/>
      <w:r w:rsidRPr="00AF4676">
        <w:rPr>
          <w:sz w:val="22"/>
        </w:rPr>
        <w:t xml:space="preserve"> felt that philosophy mattered, and that a philosophical orientation is inevitable.  As a practice, </w:t>
      </w:r>
      <w:proofErr w:type="spellStart"/>
      <w:r w:rsidRPr="00AF4676">
        <w:rPr>
          <w:sz w:val="22"/>
        </w:rPr>
        <w:t>Dooyeweerd</w:t>
      </w:r>
      <w:proofErr w:type="spellEnd"/>
      <w:r w:rsidRPr="00AF4676">
        <w:rPr>
          <w:sz w:val="22"/>
        </w:rPr>
        <w:t xml:space="preserve"> defined philosophy as theoretical reflection directed toward “cosmic” coherence (</w:t>
      </w:r>
      <w:proofErr w:type="spellStart"/>
      <w:r w:rsidRPr="00AF4676">
        <w:rPr>
          <w:sz w:val="22"/>
        </w:rPr>
        <w:t>Dooyeweerd</w:t>
      </w:r>
      <w:proofErr w:type="spellEnd"/>
      <w:r w:rsidRPr="00AF4676">
        <w:rPr>
          <w:sz w:val="22"/>
        </w:rPr>
        <w:t xml:space="preserve"> 1953- 58: 4); but </w:t>
      </w:r>
      <w:proofErr w:type="spellStart"/>
      <w:r w:rsidRPr="00AF4676">
        <w:rPr>
          <w:sz w:val="22"/>
        </w:rPr>
        <w:t>Dooyeweerd</w:t>
      </w:r>
      <w:proofErr w:type="spellEnd"/>
      <w:r w:rsidRPr="00AF4676">
        <w:rPr>
          <w:sz w:val="22"/>
        </w:rPr>
        <w:t xml:space="preserve"> also acknowledged the cultural power of philosophical orientations even when they are unconscious and unacknowledged.  His theory of Western </w:t>
      </w:r>
      <w:r w:rsidRPr="00AF4676">
        <w:rPr>
          <w:i/>
          <w:iCs/>
          <w:sz w:val="22"/>
        </w:rPr>
        <w:t>ground-motives</w:t>
      </w:r>
      <w:r w:rsidRPr="00AF4676">
        <w:rPr>
          <w:sz w:val="22"/>
        </w:rPr>
        <w:t xml:space="preserve"> is a theory of implicit philosophy or philosophy-in-action, which Llewellyn defined as the “premises, albeit inarticulate and in fact </w:t>
      </w:r>
      <w:proofErr w:type="spellStart"/>
      <w:r w:rsidRPr="00AF4676">
        <w:rPr>
          <w:sz w:val="22"/>
        </w:rPr>
        <w:t>unthought</w:t>
      </w:r>
      <w:proofErr w:type="spellEnd"/>
      <w:r w:rsidRPr="00AF4676">
        <w:rPr>
          <w:sz w:val="22"/>
        </w:rPr>
        <w:t>, which made coherence out of a multiplicity of single ways of doing” (Llewellyn 1934: 206).  Philosophies, for Llewellyn, become “established in the habits and attitudes” of social groups.  Such analyses have numerous parallels in contemporary theory, from the ideology critique of neo-Marxian social theory and the postmodern critique of Enlightenment foundationalism (both of which inspired many critical legal scholars), to post-</w:t>
      </w:r>
      <w:proofErr w:type="spellStart"/>
      <w:r w:rsidRPr="00AF4676">
        <w:rPr>
          <w:sz w:val="22"/>
        </w:rPr>
        <w:t>structuralist</w:t>
      </w:r>
      <w:proofErr w:type="spellEnd"/>
      <w:r w:rsidRPr="00AF4676">
        <w:rPr>
          <w:sz w:val="22"/>
        </w:rPr>
        <w:t xml:space="preserve"> literary theory’s sense of language as a social force, and to the history, philosophy, and sociology of science:</w:t>
      </w:r>
    </w:p>
    <w:p w14:paraId="66715EAC" w14:textId="77777777" w:rsidR="00C747E5" w:rsidRPr="00AF4676" w:rsidRDefault="00C747E5" w:rsidP="009B5697">
      <w:pPr>
        <w:ind w:left="864" w:right="864"/>
        <w:jc w:val="both"/>
        <w:rPr>
          <w:sz w:val="22"/>
        </w:rPr>
      </w:pPr>
    </w:p>
    <w:p w14:paraId="66715EAD" w14:textId="77777777" w:rsidR="00C747E5" w:rsidRPr="00AF4676" w:rsidRDefault="00C747E5" w:rsidP="009B5697">
      <w:pPr>
        <w:ind w:left="864" w:right="864"/>
        <w:jc w:val="both"/>
        <w:rPr>
          <w:sz w:val="22"/>
        </w:rPr>
      </w:pPr>
      <w:r w:rsidRPr="00AF4676">
        <w:rPr>
          <w:sz w:val="22"/>
        </w:rPr>
        <w:t xml:space="preserve">Michael Polanyi’s theory of the scientist’s indwelling in his framework of commitment, Jürgen </w:t>
      </w:r>
      <w:proofErr w:type="spellStart"/>
      <w:r w:rsidRPr="00AF4676">
        <w:rPr>
          <w:sz w:val="22"/>
        </w:rPr>
        <w:t>Habermas’s</w:t>
      </w:r>
      <w:proofErr w:type="spellEnd"/>
      <w:r w:rsidRPr="00AF4676">
        <w:rPr>
          <w:sz w:val="22"/>
        </w:rPr>
        <w:t xml:space="preserve"> theory of the role of the human interest in science, Gerard </w:t>
      </w:r>
      <w:proofErr w:type="spellStart"/>
      <w:r w:rsidRPr="00AF4676">
        <w:rPr>
          <w:sz w:val="22"/>
        </w:rPr>
        <w:t>Radnitzsky’s</w:t>
      </w:r>
      <w:proofErr w:type="spellEnd"/>
      <w:r w:rsidRPr="00AF4676">
        <w:rPr>
          <w:sz w:val="22"/>
        </w:rPr>
        <w:t xml:space="preserve"> theory of steering fields internal to science, and Thomas Kuhn’s theory of the role of paradigms are all prefigured in the way </w:t>
      </w:r>
      <w:proofErr w:type="spellStart"/>
      <w:r w:rsidRPr="00AF4676">
        <w:rPr>
          <w:sz w:val="22"/>
        </w:rPr>
        <w:t>Dooyeweerd</w:t>
      </w:r>
      <w:proofErr w:type="spellEnd"/>
      <w:r w:rsidRPr="00AF4676">
        <w:rPr>
          <w:sz w:val="22"/>
        </w:rPr>
        <w:t xml:space="preserve"> worked out his theory (Hart 1985: 145).</w:t>
      </w:r>
    </w:p>
    <w:p w14:paraId="66715EAE" w14:textId="77777777" w:rsidR="00C747E5" w:rsidRPr="00AF4676" w:rsidRDefault="00C747E5" w:rsidP="009B5697">
      <w:pPr>
        <w:ind w:left="864" w:right="864"/>
        <w:jc w:val="both"/>
        <w:rPr>
          <w:sz w:val="22"/>
        </w:rPr>
      </w:pPr>
    </w:p>
    <w:p w14:paraId="66715EAF" w14:textId="77777777" w:rsidR="00C747E5" w:rsidRPr="00AF4676" w:rsidRDefault="00C747E5" w:rsidP="009B5697">
      <w:pPr>
        <w:ind w:left="864" w:right="864"/>
        <w:jc w:val="both"/>
        <w:rPr>
          <w:sz w:val="22"/>
        </w:rPr>
      </w:pPr>
    </w:p>
    <w:p w14:paraId="66715EB0" w14:textId="77777777" w:rsidR="00C747E5" w:rsidRPr="00AF4676" w:rsidRDefault="00C747E5" w:rsidP="009B5697">
      <w:pPr>
        <w:jc w:val="both"/>
        <w:rPr>
          <w:sz w:val="22"/>
        </w:rPr>
      </w:pPr>
      <w:r w:rsidRPr="00AF4676">
        <w:rPr>
          <w:sz w:val="22"/>
        </w:rPr>
        <w:t xml:space="preserve">Interest in the “role of </w:t>
      </w:r>
      <w:proofErr w:type="spellStart"/>
      <w:r w:rsidRPr="00AF4676">
        <w:rPr>
          <w:sz w:val="22"/>
        </w:rPr>
        <w:t>extraconceptual</w:t>
      </w:r>
      <w:proofErr w:type="spellEnd"/>
      <w:r w:rsidRPr="00AF4676">
        <w:rPr>
          <w:sz w:val="22"/>
        </w:rPr>
        <w:t xml:space="preserve"> factors in theoretical inquiry,” and the “connections between theory and the ultimate commitments of those who theorize” (</w:t>
      </w:r>
      <w:proofErr w:type="gramStart"/>
      <w:r w:rsidRPr="00AF4676">
        <w:rPr>
          <w:sz w:val="22"/>
        </w:rPr>
        <w:t>Ibid.,</w:t>
      </w:r>
      <w:proofErr w:type="gramEnd"/>
      <w:r w:rsidRPr="00AF4676">
        <w:rPr>
          <w:sz w:val="22"/>
        </w:rPr>
        <w:t xml:space="preserve"> 150), is as evident today as it was in the work of Llewellyn and </w:t>
      </w:r>
      <w:proofErr w:type="spellStart"/>
      <w:r w:rsidRPr="00AF4676">
        <w:rPr>
          <w:sz w:val="22"/>
        </w:rPr>
        <w:t>Dooyeweerd</w:t>
      </w:r>
      <w:proofErr w:type="spellEnd"/>
      <w:r w:rsidRPr="00AF4676">
        <w:rPr>
          <w:sz w:val="22"/>
        </w:rPr>
        <w:t>.</w:t>
      </w:r>
    </w:p>
    <w:p w14:paraId="66715EB1" w14:textId="77777777" w:rsidR="00C747E5" w:rsidRDefault="00C747E5" w:rsidP="009B5697">
      <w:pPr>
        <w:jc w:val="both"/>
        <w:rPr>
          <w:sz w:val="22"/>
        </w:rPr>
      </w:pPr>
      <w:r w:rsidRPr="00AF4676">
        <w:rPr>
          <w:sz w:val="22"/>
        </w:rPr>
        <w:tab/>
      </w:r>
    </w:p>
    <w:p w14:paraId="66715EB2" w14:textId="77777777" w:rsidR="00C747E5" w:rsidRPr="000A7F24" w:rsidRDefault="00C747E5" w:rsidP="000A7F24">
      <w:pPr>
        <w:spacing w:before="100" w:beforeAutospacing="1" w:after="100" w:afterAutospacing="1"/>
        <w:outlineLvl w:val="1"/>
        <w:rPr>
          <w:b/>
          <w:bCs/>
          <w:sz w:val="36"/>
          <w:szCs w:val="36"/>
        </w:rPr>
      </w:pPr>
      <w:r w:rsidRPr="000A7F24">
        <w:rPr>
          <w:b/>
          <w:bCs/>
          <w:sz w:val="36"/>
          <w:szCs w:val="36"/>
        </w:rPr>
        <w:t>The “Natural Law” Impulse</w:t>
      </w:r>
    </w:p>
    <w:p w14:paraId="66715EB3" w14:textId="77777777" w:rsidR="00C747E5" w:rsidRPr="00AF4676" w:rsidRDefault="00C747E5" w:rsidP="009B5697">
      <w:pPr>
        <w:jc w:val="both"/>
        <w:rPr>
          <w:sz w:val="22"/>
        </w:rPr>
      </w:pPr>
      <w:r w:rsidRPr="00AF4676">
        <w:rPr>
          <w:sz w:val="22"/>
        </w:rPr>
        <w:t xml:space="preserve">Just as Llewellyn identified the natural law “hangover” in </w:t>
      </w:r>
      <w:r>
        <w:rPr>
          <w:sz w:val="22"/>
        </w:rPr>
        <w:t xml:space="preserve">sociologist of law Roscoe </w:t>
      </w:r>
      <w:r w:rsidRPr="00AF4676">
        <w:rPr>
          <w:sz w:val="22"/>
        </w:rPr>
        <w:t xml:space="preserve">Pound’s recourse to social values, </w:t>
      </w:r>
      <w:proofErr w:type="spellStart"/>
      <w:r w:rsidR="00F74DDD">
        <w:rPr>
          <w:sz w:val="22"/>
        </w:rPr>
        <w:t>Dooyeweerd’s</w:t>
      </w:r>
      <w:proofErr w:type="spellEnd"/>
      <w:r w:rsidR="00F74DDD">
        <w:rPr>
          <w:sz w:val="22"/>
        </w:rPr>
        <w:t xml:space="preserve"> student and successor (on the law faculty in Amsterdam) </w:t>
      </w:r>
      <w:r w:rsidR="00680C7B">
        <w:rPr>
          <w:sz w:val="22"/>
        </w:rPr>
        <w:t xml:space="preserve">H.J. </w:t>
      </w:r>
      <w:r w:rsidRPr="00AF4676">
        <w:rPr>
          <w:sz w:val="22"/>
        </w:rPr>
        <w:t xml:space="preserve">van </w:t>
      </w:r>
      <w:proofErr w:type="spellStart"/>
      <w:r w:rsidRPr="00AF4676">
        <w:rPr>
          <w:sz w:val="22"/>
        </w:rPr>
        <w:t>Eikema</w:t>
      </w:r>
      <w:proofErr w:type="spellEnd"/>
      <w:r w:rsidRPr="00AF4676">
        <w:rPr>
          <w:sz w:val="22"/>
        </w:rPr>
        <w:t xml:space="preserve"> </w:t>
      </w:r>
      <w:proofErr w:type="spellStart"/>
      <w:r w:rsidRPr="00AF4676">
        <w:rPr>
          <w:sz w:val="22"/>
        </w:rPr>
        <w:t>Hommes</w:t>
      </w:r>
      <w:proofErr w:type="spellEnd"/>
      <w:r w:rsidRPr="00AF4676">
        <w:rPr>
          <w:sz w:val="22"/>
        </w:rPr>
        <w:t xml:space="preserve"> saw in the sociological approach to law a</w:t>
      </w:r>
    </w:p>
    <w:p w14:paraId="66715EB4" w14:textId="77777777" w:rsidR="00C747E5" w:rsidRPr="00AF4676" w:rsidRDefault="00C747E5" w:rsidP="009B5697">
      <w:pPr>
        <w:ind w:left="864" w:right="864"/>
        <w:jc w:val="both"/>
        <w:rPr>
          <w:sz w:val="22"/>
        </w:rPr>
      </w:pPr>
    </w:p>
    <w:p w14:paraId="66715EB5" w14:textId="77777777" w:rsidR="00C747E5" w:rsidRPr="00AF4676" w:rsidRDefault="00C747E5" w:rsidP="009B5697">
      <w:pPr>
        <w:ind w:left="864" w:right="864"/>
        <w:jc w:val="both"/>
        <w:rPr>
          <w:sz w:val="22"/>
        </w:rPr>
      </w:pPr>
      <w:proofErr w:type="gramStart"/>
      <w:r w:rsidRPr="00AF4676">
        <w:rPr>
          <w:i/>
          <w:iCs/>
          <w:sz w:val="22"/>
        </w:rPr>
        <w:t>social-normative</w:t>
      </w:r>
      <w:proofErr w:type="gramEnd"/>
      <w:r w:rsidRPr="00AF4676">
        <w:rPr>
          <w:i/>
          <w:iCs/>
          <w:sz w:val="22"/>
        </w:rPr>
        <w:t xml:space="preserve"> prognosis</w:t>
      </w:r>
      <w:r w:rsidRPr="00AF4676">
        <w:rPr>
          <w:sz w:val="22"/>
        </w:rPr>
        <w:t xml:space="preserve"> [that presupposes the norms of social life] </w:t>
      </w:r>
      <w:r w:rsidRPr="00AF4676">
        <w:rPr>
          <w:i/>
          <w:iCs/>
          <w:sz w:val="22"/>
        </w:rPr>
        <w:t>and is meaningless without them</w:t>
      </w:r>
      <w:r w:rsidRPr="00AF4676">
        <w:rPr>
          <w:sz w:val="22"/>
        </w:rPr>
        <w:t xml:space="preserve">.  In other words </w:t>
      </w:r>
      <w:proofErr w:type="gramStart"/>
      <w:r w:rsidRPr="00AF4676">
        <w:rPr>
          <w:sz w:val="22"/>
        </w:rPr>
        <w:t>a prognosis of probable legal conduct, as well as the true expectations of the legal subjects presuppose</w:t>
      </w:r>
      <w:proofErr w:type="gramEnd"/>
      <w:r w:rsidRPr="00AF4676">
        <w:rPr>
          <w:sz w:val="22"/>
        </w:rPr>
        <w:t xml:space="preserve"> legal norms and their real normative validity.  If these norms were lacking the expectations would be baseless and the prognosis unfounded (</w:t>
      </w:r>
      <w:proofErr w:type="spellStart"/>
      <w:r w:rsidRPr="00AF4676">
        <w:rPr>
          <w:sz w:val="22"/>
        </w:rPr>
        <w:t>Hommes</w:t>
      </w:r>
      <w:proofErr w:type="spellEnd"/>
      <w:r w:rsidRPr="00AF4676">
        <w:rPr>
          <w:sz w:val="22"/>
        </w:rPr>
        <w:t xml:space="preserve"> 1979: 292).</w:t>
      </w:r>
    </w:p>
    <w:p w14:paraId="66715EB6" w14:textId="77777777" w:rsidR="00C747E5" w:rsidRPr="00AF4676" w:rsidRDefault="00C747E5" w:rsidP="009B5697">
      <w:pPr>
        <w:ind w:left="864" w:right="864"/>
        <w:jc w:val="both"/>
        <w:rPr>
          <w:sz w:val="22"/>
        </w:rPr>
      </w:pPr>
    </w:p>
    <w:p w14:paraId="66715EB7" w14:textId="77777777" w:rsidR="00C747E5" w:rsidRPr="00AF4676" w:rsidRDefault="00C747E5" w:rsidP="009B5697">
      <w:pPr>
        <w:ind w:left="864" w:right="864"/>
        <w:jc w:val="both"/>
        <w:rPr>
          <w:sz w:val="22"/>
        </w:rPr>
      </w:pPr>
    </w:p>
    <w:p w14:paraId="66715EB8" w14:textId="77777777" w:rsidR="00C747E5" w:rsidRPr="00AF4676" w:rsidRDefault="00C747E5" w:rsidP="009B5697">
      <w:pPr>
        <w:jc w:val="both"/>
        <w:rPr>
          <w:sz w:val="22"/>
        </w:rPr>
      </w:pPr>
      <w:r w:rsidRPr="00AF4676">
        <w:rPr>
          <w:sz w:val="22"/>
        </w:rPr>
        <w:t>And even as some Realists tried to “eliminate the normative character of law and [attempt] to reduce law to the actual con</w:t>
      </w:r>
      <w:r w:rsidR="00F74DDD">
        <w:rPr>
          <w:sz w:val="22"/>
        </w:rPr>
        <w:t xml:space="preserve">duct … of judges,” </w:t>
      </w:r>
      <w:proofErr w:type="spellStart"/>
      <w:r w:rsidR="00F74DDD">
        <w:rPr>
          <w:sz w:val="22"/>
        </w:rPr>
        <w:t>Hommes</w:t>
      </w:r>
      <w:proofErr w:type="spellEnd"/>
      <w:r w:rsidR="00F74DDD">
        <w:rPr>
          <w:sz w:val="22"/>
        </w:rPr>
        <w:t xml:space="preserve"> argued</w:t>
      </w:r>
      <w:r w:rsidRPr="00AF4676">
        <w:rPr>
          <w:sz w:val="22"/>
        </w:rPr>
        <w:t>, legal norms “happen to</w:t>
      </w:r>
      <w:r w:rsidR="009139F1">
        <w:rPr>
          <w:sz w:val="22"/>
        </w:rPr>
        <w:t xml:space="preserve"> occupy an</w:t>
      </w:r>
      <w:r w:rsidRPr="00AF4676">
        <w:rPr>
          <w:sz w:val="22"/>
        </w:rPr>
        <w:t xml:space="preserve"> essential and undeniable position in legal life” – they cannot be reduced to facts (</w:t>
      </w:r>
      <w:proofErr w:type="spellStart"/>
      <w:r w:rsidRPr="00AF4676">
        <w:rPr>
          <w:sz w:val="22"/>
        </w:rPr>
        <w:t>Hommes</w:t>
      </w:r>
      <w:proofErr w:type="spellEnd"/>
      <w:r w:rsidRPr="00AF4676">
        <w:rPr>
          <w:sz w:val="22"/>
        </w:rPr>
        <w:t xml:space="preserve"> 1979: 312).  Recourse to social well-being, the ideal of justice, human needs, or normative generalizations – each of them highly contested conceptions – only serves to revive the natural law impulse identified by Llewellyn in the history of American legal philosophy.</w:t>
      </w:r>
    </w:p>
    <w:p w14:paraId="66715EB9" w14:textId="77777777" w:rsidR="00C747E5" w:rsidRPr="00AF4676" w:rsidRDefault="00C747E5" w:rsidP="009B5697">
      <w:pPr>
        <w:jc w:val="both"/>
        <w:rPr>
          <w:sz w:val="22"/>
        </w:rPr>
      </w:pPr>
      <w:r w:rsidRPr="00AF4676">
        <w:rPr>
          <w:sz w:val="22"/>
        </w:rPr>
        <w:tab/>
        <w:t xml:space="preserve">And yet Llewellyn wants to avoid, in his Realist methodology, the </w:t>
      </w:r>
      <w:r w:rsidRPr="00AF4676">
        <w:rPr>
          <w:i/>
          <w:iCs/>
          <w:sz w:val="22"/>
        </w:rPr>
        <w:t>contamination</w:t>
      </w:r>
      <w:r w:rsidRPr="00AF4676">
        <w:rPr>
          <w:sz w:val="22"/>
        </w:rPr>
        <w:t xml:space="preserve"> of value judgments, and the term “natural law” obviously has a pejorative connotation throughout his brief essay on legal philosophy.  Llewellyn admires Justice Holmes, who said that</w:t>
      </w:r>
    </w:p>
    <w:p w14:paraId="66715EBA" w14:textId="77777777" w:rsidR="00C747E5" w:rsidRPr="00AF4676" w:rsidRDefault="00C747E5" w:rsidP="009B5697">
      <w:pPr>
        <w:ind w:left="864" w:right="864"/>
        <w:jc w:val="both"/>
        <w:rPr>
          <w:sz w:val="22"/>
        </w:rPr>
      </w:pPr>
    </w:p>
    <w:p w14:paraId="66715EBB" w14:textId="77777777" w:rsidR="00C747E5" w:rsidRPr="00AF4676" w:rsidRDefault="00C747E5" w:rsidP="009B5697">
      <w:pPr>
        <w:ind w:left="864" w:right="864"/>
        <w:jc w:val="both"/>
        <w:rPr>
          <w:sz w:val="22"/>
        </w:rPr>
      </w:pPr>
      <w:r w:rsidRPr="00AF4676">
        <w:rPr>
          <w:sz w:val="22"/>
        </w:rPr>
        <w:t>jurists who believe in natural law seem to me to be in that naïve state of mind that accepts what has been familiar and accepted by them and their neighbors as something that must be accepted by all men everywhere (Holmes 1964: 82).</w:t>
      </w:r>
    </w:p>
    <w:p w14:paraId="66715EBC" w14:textId="77777777" w:rsidR="00C747E5" w:rsidRPr="00AF4676" w:rsidRDefault="00C747E5" w:rsidP="009B5697">
      <w:pPr>
        <w:ind w:left="864" w:right="864"/>
        <w:jc w:val="both"/>
        <w:rPr>
          <w:sz w:val="22"/>
        </w:rPr>
      </w:pPr>
    </w:p>
    <w:p w14:paraId="66715EBD" w14:textId="77777777" w:rsidR="00C747E5" w:rsidRPr="00AF4676" w:rsidRDefault="00C747E5" w:rsidP="009B5697">
      <w:pPr>
        <w:jc w:val="both"/>
        <w:rPr>
          <w:sz w:val="22"/>
        </w:rPr>
      </w:pPr>
      <w:r w:rsidRPr="00AF4676">
        <w:rPr>
          <w:sz w:val="22"/>
        </w:rPr>
        <w:t xml:space="preserve">I understand that natural law adherents might claim a universal validity for their deep-seated preferences, while Realists concede the social and historical relativity of their deep-seated preferences, but both sets of preferences function in the same manner.  I even understand that a Realist might be more self-critical than a naïve natural lawyer, and therefore call upon social science, concrete data, and empirical studies to back up policy decisions, while remaining alert to rhetorical strategies in legal discourse.  But in </w:t>
      </w:r>
      <w:proofErr w:type="spellStart"/>
      <w:r w:rsidRPr="00AF4676">
        <w:rPr>
          <w:sz w:val="22"/>
        </w:rPr>
        <w:t>Dooyeweerdian</w:t>
      </w:r>
      <w:proofErr w:type="spellEnd"/>
      <w:r w:rsidRPr="00AF4676">
        <w:rPr>
          <w:sz w:val="22"/>
        </w:rPr>
        <w:t xml:space="preserve"> terms, self-critical</w:t>
      </w:r>
      <w:r w:rsidR="00FE7252">
        <w:rPr>
          <w:sz w:val="22"/>
        </w:rPr>
        <w:t xml:space="preserve"> reflection will reveal that such</w:t>
      </w:r>
      <w:r w:rsidRPr="00AF4676">
        <w:rPr>
          <w:sz w:val="22"/>
        </w:rPr>
        <w:t xml:space="preserve"> knowledge</w:t>
      </w:r>
    </w:p>
    <w:p w14:paraId="66715EBE" w14:textId="77777777" w:rsidR="00C747E5" w:rsidRPr="00AF4676" w:rsidRDefault="00C747E5" w:rsidP="009B5697">
      <w:pPr>
        <w:ind w:left="864" w:right="864"/>
        <w:jc w:val="both"/>
        <w:rPr>
          <w:sz w:val="22"/>
        </w:rPr>
      </w:pPr>
    </w:p>
    <w:p w14:paraId="66715EBF" w14:textId="77777777" w:rsidR="00C747E5" w:rsidRPr="00AF4676" w:rsidRDefault="00C747E5" w:rsidP="009B5697">
      <w:pPr>
        <w:ind w:left="864" w:right="864"/>
        <w:jc w:val="both"/>
        <w:rPr>
          <w:sz w:val="22"/>
        </w:rPr>
      </w:pPr>
      <w:proofErr w:type="gramStart"/>
      <w:r w:rsidRPr="00AF4676">
        <w:rPr>
          <w:sz w:val="22"/>
        </w:rPr>
        <w:t>is</w:t>
      </w:r>
      <w:proofErr w:type="gramEnd"/>
      <w:r w:rsidRPr="00AF4676">
        <w:rPr>
          <w:sz w:val="22"/>
        </w:rPr>
        <w:t xml:space="preserve"> not simply a direct and neutral given of observation, but … is in part a subjective cultural </w:t>
      </w:r>
      <w:r w:rsidRPr="00AF4676">
        <w:rPr>
          <w:i/>
          <w:iCs/>
          <w:sz w:val="22"/>
        </w:rPr>
        <w:t>product</w:t>
      </w:r>
      <w:r w:rsidRPr="00AF4676">
        <w:rPr>
          <w:sz w:val="22"/>
        </w:rPr>
        <w:t xml:space="preserve"> of our subjective selves with all our underlying philosophical assumptions (Hart 1985: 147).</w:t>
      </w:r>
    </w:p>
    <w:p w14:paraId="66715EC0" w14:textId="77777777" w:rsidR="00C747E5" w:rsidRPr="00AF4676" w:rsidRDefault="00C747E5" w:rsidP="009B5697">
      <w:pPr>
        <w:ind w:left="864" w:right="864"/>
        <w:jc w:val="both"/>
        <w:rPr>
          <w:sz w:val="22"/>
        </w:rPr>
      </w:pPr>
    </w:p>
    <w:p w14:paraId="66715EC1" w14:textId="77777777" w:rsidR="00C747E5" w:rsidRPr="00AF4676" w:rsidRDefault="00C747E5" w:rsidP="009B5697">
      <w:pPr>
        <w:ind w:left="864" w:right="864"/>
        <w:jc w:val="both"/>
        <w:rPr>
          <w:sz w:val="22"/>
        </w:rPr>
      </w:pPr>
    </w:p>
    <w:p w14:paraId="66715EC2" w14:textId="77777777" w:rsidR="00C747E5" w:rsidRPr="00AF4676" w:rsidRDefault="00C747E5" w:rsidP="009B5697">
      <w:pPr>
        <w:jc w:val="both"/>
        <w:rPr>
          <w:sz w:val="22"/>
        </w:rPr>
      </w:pPr>
      <w:r w:rsidRPr="00AF4676">
        <w:rPr>
          <w:sz w:val="22"/>
        </w:rPr>
        <w:lastRenderedPageBreak/>
        <w:t>Llewellyn’s warning, to those who scorn philosophy, that they cannot escape the necessity of living “in terms of some of them,” applies to Llewellyn and the Realists, and to all of us.</w:t>
      </w:r>
    </w:p>
    <w:p w14:paraId="66715EC3" w14:textId="77777777" w:rsidR="009B5697" w:rsidRDefault="00C747E5" w:rsidP="009B5697">
      <w:pPr>
        <w:jc w:val="both"/>
        <w:rPr>
          <w:sz w:val="22"/>
        </w:rPr>
      </w:pPr>
      <w:r w:rsidRPr="00AF4676">
        <w:rPr>
          <w:sz w:val="22"/>
        </w:rPr>
        <w:tab/>
      </w:r>
    </w:p>
    <w:p w14:paraId="66715EC4" w14:textId="77777777" w:rsidR="00C747E5" w:rsidRPr="00AF4676" w:rsidRDefault="00C747E5" w:rsidP="009B5697">
      <w:pPr>
        <w:ind w:firstLine="720"/>
        <w:jc w:val="both"/>
        <w:rPr>
          <w:sz w:val="22"/>
        </w:rPr>
      </w:pPr>
      <w:r w:rsidRPr="00AF4676">
        <w:rPr>
          <w:sz w:val="22"/>
        </w:rPr>
        <w:t xml:space="preserve">The sense in which </w:t>
      </w:r>
      <w:proofErr w:type="spellStart"/>
      <w:r w:rsidRPr="00AF4676">
        <w:rPr>
          <w:sz w:val="22"/>
        </w:rPr>
        <w:t>Dooyeweerd</w:t>
      </w:r>
      <w:proofErr w:type="spellEnd"/>
      <w:r w:rsidRPr="00AF4676">
        <w:rPr>
          <w:sz w:val="22"/>
        </w:rPr>
        <w:t xml:space="preserve"> is a Realist is that self-evident truths, Reason, the “essential” nature of government, the ideal of justice, social values, principles of soundness, and so forth are belief-structures – to view them as foundational is an uncritical prejudice.  </w:t>
      </w:r>
      <w:proofErr w:type="spellStart"/>
      <w:r w:rsidRPr="00AF4676">
        <w:rPr>
          <w:sz w:val="22"/>
        </w:rPr>
        <w:t>Dooyeweerd</w:t>
      </w:r>
      <w:proofErr w:type="spellEnd"/>
      <w:r w:rsidRPr="00AF4676">
        <w:rPr>
          <w:sz w:val="22"/>
        </w:rPr>
        <w:t xml:space="preserve">, and impliedly Llewellyn, level the playing field by suggesting that every theorist should reflect upon and become aware of his or her assumptions.  Unlike Holmes, who said that “deep-seated preferences </w:t>
      </w:r>
      <w:proofErr w:type="spellStart"/>
      <w:r w:rsidRPr="00AF4676">
        <w:rPr>
          <w:sz w:val="22"/>
        </w:rPr>
        <w:t>can not</w:t>
      </w:r>
      <w:proofErr w:type="spellEnd"/>
      <w:r w:rsidRPr="00AF4676">
        <w:rPr>
          <w:sz w:val="22"/>
        </w:rPr>
        <w:t xml:space="preserve"> be argued about” (Holmes 1964:81), </w:t>
      </w:r>
      <w:proofErr w:type="spellStart"/>
      <w:r w:rsidRPr="00AF4676">
        <w:rPr>
          <w:sz w:val="22"/>
        </w:rPr>
        <w:t>Dooyeweerd</w:t>
      </w:r>
      <w:proofErr w:type="spellEnd"/>
      <w:r w:rsidRPr="00AF4676">
        <w:rPr>
          <w:sz w:val="22"/>
        </w:rPr>
        <w:t xml:space="preserve"> thought that his transcendental critique could “pave the way for a real contact of thought among the various philosophical trends” (</w:t>
      </w:r>
      <w:proofErr w:type="spellStart"/>
      <w:r w:rsidRPr="00AF4676">
        <w:rPr>
          <w:sz w:val="22"/>
        </w:rPr>
        <w:t>Dooyeweerd</w:t>
      </w:r>
      <w:proofErr w:type="spellEnd"/>
      <w:r w:rsidRPr="00AF4676">
        <w:rPr>
          <w:sz w:val="22"/>
        </w:rPr>
        <w:t xml:space="preserve"> 1953-57: 70).  He recommended a “merciless war against the masking of supra-theoretical prejudices as theoretical axioms” (Ibid.), and he claimed no monopoly on truth for his own inquiry:</w:t>
      </w:r>
    </w:p>
    <w:p w14:paraId="66715EC5" w14:textId="77777777" w:rsidR="00C747E5" w:rsidRPr="00AF4676" w:rsidRDefault="00C747E5" w:rsidP="009B5697">
      <w:pPr>
        <w:ind w:left="864" w:right="864"/>
        <w:jc w:val="both"/>
        <w:rPr>
          <w:sz w:val="22"/>
        </w:rPr>
      </w:pPr>
    </w:p>
    <w:p w14:paraId="66715EC6" w14:textId="77777777" w:rsidR="00C747E5" w:rsidRPr="00AF4676" w:rsidRDefault="00C747E5" w:rsidP="009B5697">
      <w:pPr>
        <w:ind w:left="864" w:right="864"/>
        <w:jc w:val="both"/>
        <w:rPr>
          <w:sz w:val="22"/>
        </w:rPr>
      </w:pPr>
      <w:r w:rsidRPr="00AF4676">
        <w:rPr>
          <w:sz w:val="22"/>
        </w:rPr>
        <w:t xml:space="preserve">As a </w:t>
      </w:r>
      <w:r w:rsidRPr="00AF4676">
        <w:rPr>
          <w:i/>
          <w:iCs/>
          <w:sz w:val="22"/>
        </w:rPr>
        <w:t>philosophy</w:t>
      </w:r>
      <w:r w:rsidRPr="00AF4676">
        <w:rPr>
          <w:sz w:val="22"/>
        </w:rPr>
        <w:t xml:space="preserve"> it does not in any way demand a privileged position for itself; on the contrary, it seeks to create a real basis for philosophical dialogue among the different movements … in terms of their own respective deepest spiritual backgrounds (</w:t>
      </w:r>
      <w:proofErr w:type="spellStart"/>
      <w:r w:rsidRPr="00AF4676">
        <w:rPr>
          <w:sz w:val="22"/>
        </w:rPr>
        <w:t>Dooyeweerd</w:t>
      </w:r>
      <w:proofErr w:type="spellEnd"/>
      <w:r w:rsidRPr="00AF4676">
        <w:rPr>
          <w:sz w:val="22"/>
        </w:rPr>
        <w:t xml:space="preserve"> 1996 (</w:t>
      </w:r>
      <w:r w:rsidRPr="00AF4676">
        <w:rPr>
          <w:i/>
          <w:sz w:val="22"/>
        </w:rPr>
        <w:t>Christian Philosophy</w:t>
      </w:r>
      <w:r w:rsidRPr="00AF4676">
        <w:rPr>
          <w:sz w:val="22"/>
        </w:rPr>
        <w:t xml:space="preserve">…): 4). </w:t>
      </w:r>
    </w:p>
    <w:p w14:paraId="66715EC7" w14:textId="77777777" w:rsidR="00C747E5" w:rsidRPr="00AF4676" w:rsidRDefault="00C747E5" w:rsidP="009B5697">
      <w:pPr>
        <w:ind w:left="864" w:right="864"/>
        <w:jc w:val="both"/>
        <w:rPr>
          <w:sz w:val="22"/>
        </w:rPr>
      </w:pPr>
    </w:p>
    <w:p w14:paraId="66715EC8" w14:textId="77777777" w:rsidR="00C747E5" w:rsidRPr="00AF4676" w:rsidRDefault="00C747E5" w:rsidP="009B5697">
      <w:pPr>
        <w:ind w:left="864" w:right="864"/>
        <w:jc w:val="both"/>
        <w:rPr>
          <w:sz w:val="22"/>
        </w:rPr>
      </w:pPr>
    </w:p>
    <w:p w14:paraId="66715EC9" w14:textId="77777777" w:rsidR="00C747E5" w:rsidRDefault="00C747E5" w:rsidP="009B5697">
      <w:pPr>
        <w:jc w:val="both"/>
        <w:rPr>
          <w:sz w:val="22"/>
        </w:rPr>
      </w:pPr>
      <w:proofErr w:type="spellStart"/>
      <w:r w:rsidRPr="00AF4676">
        <w:rPr>
          <w:sz w:val="22"/>
        </w:rPr>
        <w:t>Dooyeweerd</w:t>
      </w:r>
      <w:proofErr w:type="spellEnd"/>
      <w:r w:rsidRPr="00AF4676">
        <w:rPr>
          <w:sz w:val="22"/>
        </w:rPr>
        <w:t xml:space="preserve"> therefore saw a lot of room for dialogue and argument about deep-seated preferences – identifying assumptions, challenging their status, inquiring about their sources, and defending their results as good for everyone.</w:t>
      </w:r>
    </w:p>
    <w:p w14:paraId="66715ECA" w14:textId="77777777" w:rsidR="009B5697" w:rsidRPr="00AF4676" w:rsidRDefault="009B5697" w:rsidP="009B5697">
      <w:pPr>
        <w:jc w:val="both"/>
        <w:rPr>
          <w:sz w:val="22"/>
        </w:rPr>
      </w:pPr>
    </w:p>
    <w:p w14:paraId="66715ECB" w14:textId="77777777" w:rsidR="00C747E5" w:rsidRDefault="00C747E5" w:rsidP="009B5697">
      <w:pPr>
        <w:jc w:val="both"/>
        <w:rPr>
          <w:sz w:val="22"/>
        </w:rPr>
      </w:pPr>
      <w:r w:rsidRPr="00AF4676">
        <w:rPr>
          <w:sz w:val="22"/>
        </w:rPr>
        <w:tab/>
        <w:t xml:space="preserve">To the likely distress of actual natural law philosophers, Llewellyn’s (and my own) use of the term “natural law” to refer to any determinable value judgment or preference, including Reason in the armchair, is probably unfortunate.  In Llewellyn’s defense, he does describe these phenomena as “echoes” of, as approaches “along the line of,” and as “hangovers” of the philosophy of natural law (Llewellyn 1934: 209, 211).  “Natural law” is just a catchword for a decadent tendency to pretend that personal preferences are somehow in accord with higher Reason or immutable principles.  </w:t>
      </w:r>
      <w:proofErr w:type="spellStart"/>
      <w:r w:rsidRPr="00AF4676">
        <w:rPr>
          <w:sz w:val="22"/>
        </w:rPr>
        <w:t>Dooyeweerd</w:t>
      </w:r>
      <w:proofErr w:type="spellEnd"/>
      <w:r w:rsidRPr="00AF4676">
        <w:rPr>
          <w:sz w:val="22"/>
        </w:rPr>
        <w:t xml:space="preserve"> would have referred to </w:t>
      </w:r>
      <w:r>
        <w:rPr>
          <w:sz w:val="22"/>
        </w:rPr>
        <w:t xml:space="preserve">this move as </w:t>
      </w:r>
      <w:r w:rsidRPr="00AF4676">
        <w:rPr>
          <w:sz w:val="22"/>
        </w:rPr>
        <w:t>the uncritical dogma of the autonomy of reason, reserving the term natural law for his own style of jurisprudence (</w:t>
      </w:r>
      <w:proofErr w:type="spellStart"/>
      <w:r w:rsidRPr="00AF4676">
        <w:rPr>
          <w:sz w:val="22"/>
        </w:rPr>
        <w:t>Dooyeweerd</w:t>
      </w:r>
      <w:proofErr w:type="spellEnd"/>
      <w:r w:rsidRPr="00AF4676">
        <w:rPr>
          <w:sz w:val="22"/>
        </w:rPr>
        <w:t xml:space="preserve"> 1996 (</w:t>
      </w:r>
      <w:r w:rsidRPr="00AF4676">
        <w:rPr>
          <w:i/>
          <w:sz w:val="22"/>
        </w:rPr>
        <w:t>Calvinism</w:t>
      </w:r>
      <w:r w:rsidRPr="00AF4676">
        <w:rPr>
          <w:sz w:val="22"/>
        </w:rPr>
        <w:t xml:space="preserve">…): 19-25).  But </w:t>
      </w:r>
      <w:proofErr w:type="spellStart"/>
      <w:r w:rsidRPr="00AF4676">
        <w:rPr>
          <w:sz w:val="22"/>
        </w:rPr>
        <w:t>Dooyeweerd</w:t>
      </w:r>
      <w:proofErr w:type="spellEnd"/>
      <w:r w:rsidRPr="00AF4676">
        <w:rPr>
          <w:sz w:val="22"/>
        </w:rPr>
        <w:t xml:space="preserve"> would also have referred to all jurisprudential movements as “religious,” in the sense of their inevitable faith in pre-theoretical assumptions, and he was of course not being pejorative.  </w:t>
      </w:r>
    </w:p>
    <w:p w14:paraId="66715ECC" w14:textId="77777777" w:rsidR="009B5697" w:rsidRPr="00AF4676" w:rsidRDefault="009B5697" w:rsidP="009B5697">
      <w:pPr>
        <w:jc w:val="both"/>
        <w:rPr>
          <w:sz w:val="22"/>
        </w:rPr>
      </w:pPr>
    </w:p>
    <w:p w14:paraId="66715ECD" w14:textId="77777777" w:rsidR="00C747E5" w:rsidRPr="00AF4676" w:rsidRDefault="00C747E5" w:rsidP="009B5697">
      <w:pPr>
        <w:jc w:val="both"/>
        <w:rPr>
          <w:sz w:val="22"/>
        </w:rPr>
      </w:pPr>
      <w:r w:rsidRPr="00AF4676">
        <w:rPr>
          <w:sz w:val="22"/>
        </w:rPr>
        <w:tab/>
        <w:t xml:space="preserve">The targets of Llewellyn’s critical essay, and </w:t>
      </w:r>
      <w:proofErr w:type="spellStart"/>
      <w:r w:rsidRPr="00AF4676">
        <w:rPr>
          <w:sz w:val="22"/>
        </w:rPr>
        <w:t>Dooyeweerd’s</w:t>
      </w:r>
      <w:proofErr w:type="spellEnd"/>
      <w:r w:rsidRPr="00AF4676">
        <w:rPr>
          <w:sz w:val="22"/>
        </w:rPr>
        <w:t xml:space="preserve"> critique of theoretical thought, are sometimes the same.  Both are suspicious of Reason as an allegedly universal source of guidance, because both see its relativistic foundation in a philosophical orientation.  Llewellyn thought that such an orientation should be replaced by another orientation – one that would insist on concrete data, that would see words as mere tools, </w:t>
      </w:r>
      <w:r w:rsidR="00FE7252">
        <w:rPr>
          <w:sz w:val="22"/>
        </w:rPr>
        <w:t xml:space="preserve">and </w:t>
      </w:r>
      <w:r w:rsidRPr="00AF4676">
        <w:rPr>
          <w:sz w:val="22"/>
        </w:rPr>
        <w:t xml:space="preserve">that would be grounded in social needs and validated by results.  That new orientation, </w:t>
      </w:r>
      <w:proofErr w:type="spellStart"/>
      <w:r w:rsidRPr="00AF4676">
        <w:rPr>
          <w:sz w:val="22"/>
        </w:rPr>
        <w:t>Dooyeweerd</w:t>
      </w:r>
      <w:proofErr w:type="spellEnd"/>
      <w:r w:rsidRPr="00AF4676">
        <w:rPr>
          <w:sz w:val="22"/>
        </w:rPr>
        <w:t xml:space="preserve"> would point out, cannot avoid pre-theoretical commitments.  Every philosophical orientation involves claims that it is “natural,” that it describes the way things are and should be.  In that sense, ever</w:t>
      </w:r>
      <w:r w:rsidR="00FE7252">
        <w:rPr>
          <w:sz w:val="22"/>
        </w:rPr>
        <w:t>y philosophical orientation is a belief-system</w:t>
      </w:r>
      <w:r w:rsidRPr="00AF4676">
        <w:rPr>
          <w:sz w:val="22"/>
        </w:rPr>
        <w:t xml:space="preserve">, based on faith, </w:t>
      </w:r>
      <w:r w:rsidR="00FE7252">
        <w:rPr>
          <w:sz w:val="22"/>
        </w:rPr>
        <w:t>such that a</w:t>
      </w:r>
      <w:r w:rsidRPr="00AF4676">
        <w:rPr>
          <w:sz w:val="22"/>
        </w:rPr>
        <w:t xml:space="preserve"> </w:t>
      </w:r>
      <w:r w:rsidR="00FE7252">
        <w:rPr>
          <w:sz w:val="22"/>
        </w:rPr>
        <w:t>“</w:t>
      </w:r>
      <w:r w:rsidRPr="00AF4676">
        <w:rPr>
          <w:sz w:val="22"/>
        </w:rPr>
        <w:t>religious</w:t>
      </w:r>
      <w:r w:rsidR="00FE7252">
        <w:rPr>
          <w:sz w:val="22"/>
        </w:rPr>
        <w:t>”</w:t>
      </w:r>
      <w:r w:rsidRPr="00AF4676">
        <w:rPr>
          <w:sz w:val="22"/>
        </w:rPr>
        <w:t xml:space="preserve"> aspect of law and legal theory is inevitable.</w:t>
      </w:r>
    </w:p>
    <w:p w14:paraId="66715ECE" w14:textId="77777777" w:rsidR="00C747E5" w:rsidRDefault="00C747E5" w:rsidP="009B5697">
      <w:pPr>
        <w:autoSpaceDE w:val="0"/>
        <w:autoSpaceDN w:val="0"/>
        <w:adjustRightInd w:val="0"/>
        <w:jc w:val="both"/>
        <w:rPr>
          <w:rFonts w:ascii="Times-Roman" w:hAnsi="Times-Roman" w:cs="Times-Roman"/>
          <w:i/>
          <w:sz w:val="22"/>
          <w:szCs w:val="22"/>
        </w:rPr>
      </w:pPr>
    </w:p>
    <w:p w14:paraId="66715ECF" w14:textId="77777777" w:rsidR="00C747E5" w:rsidRDefault="00C747E5" w:rsidP="009B5697">
      <w:pPr>
        <w:autoSpaceDE w:val="0"/>
        <w:autoSpaceDN w:val="0"/>
        <w:adjustRightInd w:val="0"/>
        <w:jc w:val="both"/>
        <w:rPr>
          <w:rFonts w:ascii="Times-Roman" w:hAnsi="Times-Roman" w:cs="Times-Roman"/>
          <w:i/>
          <w:sz w:val="22"/>
          <w:szCs w:val="22"/>
        </w:rPr>
      </w:pPr>
    </w:p>
    <w:p w14:paraId="66715ED0" w14:textId="77777777" w:rsidR="00C747E5" w:rsidRDefault="00C747E5" w:rsidP="009B5697">
      <w:pPr>
        <w:autoSpaceDE w:val="0"/>
        <w:autoSpaceDN w:val="0"/>
        <w:adjustRightInd w:val="0"/>
        <w:jc w:val="both"/>
        <w:rPr>
          <w:rFonts w:ascii="Times-Roman" w:hAnsi="Times-Roman" w:cs="Times-Roman"/>
          <w:i/>
          <w:sz w:val="22"/>
          <w:szCs w:val="22"/>
        </w:rPr>
      </w:pPr>
    </w:p>
    <w:p w14:paraId="66715ED1" w14:textId="77777777" w:rsidR="00382849" w:rsidRPr="000A7F24" w:rsidRDefault="00382849" w:rsidP="000A7F24">
      <w:pPr>
        <w:spacing w:before="100" w:beforeAutospacing="1" w:after="100" w:afterAutospacing="1"/>
        <w:outlineLvl w:val="1"/>
        <w:rPr>
          <w:b/>
          <w:bCs/>
          <w:sz w:val="36"/>
          <w:szCs w:val="36"/>
        </w:rPr>
      </w:pPr>
      <w:proofErr w:type="spellStart"/>
      <w:r w:rsidRPr="000A7F24">
        <w:rPr>
          <w:b/>
          <w:bCs/>
          <w:sz w:val="36"/>
          <w:szCs w:val="36"/>
        </w:rPr>
        <w:lastRenderedPageBreak/>
        <w:t>Dooyeweerd’s</w:t>
      </w:r>
      <w:proofErr w:type="spellEnd"/>
      <w:r w:rsidRPr="000A7F24">
        <w:rPr>
          <w:b/>
          <w:bCs/>
          <w:sz w:val="36"/>
          <w:szCs w:val="36"/>
        </w:rPr>
        <w:t xml:space="preserve"> Contribution to Multi-Aspectual Th</w:t>
      </w:r>
      <w:r w:rsidR="00AF4676" w:rsidRPr="000A7F24">
        <w:rPr>
          <w:b/>
          <w:bCs/>
          <w:sz w:val="36"/>
          <w:szCs w:val="36"/>
        </w:rPr>
        <w:t>ought</w:t>
      </w:r>
    </w:p>
    <w:p w14:paraId="66715ED2" w14:textId="77777777" w:rsidR="00EC508A" w:rsidRDefault="00C747E5" w:rsidP="009B5697">
      <w:pPr>
        <w:jc w:val="both"/>
        <w:rPr>
          <w:sz w:val="22"/>
        </w:rPr>
      </w:pPr>
      <w:r>
        <w:rPr>
          <w:sz w:val="22"/>
        </w:rPr>
        <w:t xml:space="preserve">One of the many features of </w:t>
      </w:r>
      <w:proofErr w:type="spellStart"/>
      <w:r>
        <w:rPr>
          <w:sz w:val="22"/>
        </w:rPr>
        <w:t>Dooyeweerd’s</w:t>
      </w:r>
      <w:proofErr w:type="spellEnd"/>
      <w:r>
        <w:rPr>
          <w:sz w:val="22"/>
        </w:rPr>
        <w:t xml:space="preserve"> so-called “Philosophy of the </w:t>
      </w:r>
      <w:r w:rsidR="00B019F6">
        <w:rPr>
          <w:sz w:val="22"/>
        </w:rPr>
        <w:t xml:space="preserve">Law-Idea” </w:t>
      </w:r>
      <w:r w:rsidR="00E91D1E">
        <w:rPr>
          <w:sz w:val="22"/>
        </w:rPr>
        <w:t>(</w:t>
      </w:r>
      <w:r w:rsidR="00B019F6">
        <w:rPr>
          <w:sz w:val="22"/>
        </w:rPr>
        <w:t>“</w:t>
      </w:r>
      <w:r w:rsidR="00B019F6" w:rsidRPr="00B019F6">
        <w:rPr>
          <w:i/>
          <w:sz w:val="22"/>
        </w:rPr>
        <w:t xml:space="preserve">De </w:t>
      </w:r>
      <w:proofErr w:type="spellStart"/>
      <w:r w:rsidR="00B019F6" w:rsidRPr="00B019F6">
        <w:rPr>
          <w:i/>
          <w:sz w:val="22"/>
        </w:rPr>
        <w:t>Wijsbegeerte</w:t>
      </w:r>
      <w:proofErr w:type="spellEnd"/>
      <w:r w:rsidR="00B019F6">
        <w:rPr>
          <w:sz w:val="22"/>
        </w:rPr>
        <w:t xml:space="preserve"> </w:t>
      </w:r>
      <w:r w:rsidR="00B019F6" w:rsidRPr="00B019F6">
        <w:rPr>
          <w:i/>
          <w:sz w:val="22"/>
        </w:rPr>
        <w:t xml:space="preserve">der </w:t>
      </w:r>
      <w:proofErr w:type="spellStart"/>
      <w:r w:rsidR="00B019F6" w:rsidRPr="00B019F6">
        <w:rPr>
          <w:i/>
          <w:sz w:val="22"/>
        </w:rPr>
        <w:t>Wetsidee</w:t>
      </w:r>
      <w:proofErr w:type="spellEnd"/>
      <w:r>
        <w:rPr>
          <w:sz w:val="22"/>
        </w:rPr>
        <w:t xml:space="preserve">”) was his </w:t>
      </w:r>
      <w:r w:rsidR="00B019F6">
        <w:rPr>
          <w:sz w:val="22"/>
        </w:rPr>
        <w:t xml:space="preserve">effort to identify the mutually irreducible </w:t>
      </w:r>
      <w:r w:rsidR="00B019F6" w:rsidRPr="00B019F6">
        <w:rPr>
          <w:i/>
          <w:sz w:val="22"/>
        </w:rPr>
        <w:t>aspects</w:t>
      </w:r>
      <w:r w:rsidR="00B019F6">
        <w:rPr>
          <w:sz w:val="22"/>
        </w:rPr>
        <w:t xml:space="preserve"> of reality, including the historical, economic, aesthetic, juridical, </w:t>
      </w:r>
      <w:proofErr w:type="spellStart"/>
      <w:r>
        <w:rPr>
          <w:sz w:val="22"/>
        </w:rPr>
        <w:t>pistical</w:t>
      </w:r>
      <w:proofErr w:type="spellEnd"/>
      <w:r>
        <w:rPr>
          <w:sz w:val="22"/>
        </w:rPr>
        <w:t xml:space="preserve"> (i.e., the “belief</w:t>
      </w:r>
      <w:r w:rsidR="003674FF">
        <w:rPr>
          <w:sz w:val="22"/>
        </w:rPr>
        <w:t xml:space="preserve">” or “faith” aspect), </w:t>
      </w:r>
      <w:r w:rsidR="00B019F6">
        <w:rPr>
          <w:sz w:val="22"/>
        </w:rPr>
        <w:t xml:space="preserve">and so forth.  </w:t>
      </w:r>
      <w:r w:rsidR="00FE7252">
        <w:rPr>
          <w:sz w:val="22"/>
        </w:rPr>
        <w:t>For example, a rose is a biological entity, but it also “functions” as an aesthetic object</w:t>
      </w:r>
      <w:r w:rsidR="00BC1915">
        <w:rPr>
          <w:sz w:val="22"/>
        </w:rPr>
        <w:t xml:space="preserve"> </w:t>
      </w:r>
      <w:r w:rsidR="00BC1915" w:rsidRPr="00BC1915">
        <w:rPr>
          <w:i/>
          <w:sz w:val="22"/>
        </w:rPr>
        <w:t>an</w:t>
      </w:r>
      <w:r w:rsidR="00FE7252" w:rsidRPr="00BC1915">
        <w:rPr>
          <w:i/>
          <w:sz w:val="22"/>
        </w:rPr>
        <w:t>d</w:t>
      </w:r>
      <w:r w:rsidR="00FE7252">
        <w:rPr>
          <w:sz w:val="22"/>
        </w:rPr>
        <w:t xml:space="preserve"> as an economic object in the marketplace.  </w:t>
      </w:r>
      <w:r w:rsidR="003674FF">
        <w:rPr>
          <w:sz w:val="22"/>
        </w:rPr>
        <w:t xml:space="preserve"> </w:t>
      </w:r>
    </w:p>
    <w:p w14:paraId="66715ED3" w14:textId="77777777" w:rsidR="00AF4676" w:rsidRPr="00AF4676" w:rsidRDefault="00FE7252" w:rsidP="009B5697">
      <w:pPr>
        <w:jc w:val="both"/>
        <w:rPr>
          <w:sz w:val="22"/>
        </w:rPr>
      </w:pPr>
      <w:r>
        <w:rPr>
          <w:sz w:val="22"/>
        </w:rPr>
        <w:t xml:space="preserve">     </w:t>
      </w:r>
      <w:r>
        <w:rPr>
          <w:sz w:val="22"/>
        </w:rPr>
        <w:tab/>
        <w:t>My focus in this essay</w:t>
      </w:r>
      <w:r w:rsidR="00EC508A">
        <w:rPr>
          <w:sz w:val="22"/>
        </w:rPr>
        <w:t xml:space="preserve"> is </w:t>
      </w:r>
      <w:r>
        <w:rPr>
          <w:sz w:val="22"/>
        </w:rPr>
        <w:t xml:space="preserve">on </w:t>
      </w:r>
      <w:proofErr w:type="spellStart"/>
      <w:r w:rsidR="00AF4676" w:rsidRPr="00AF4676">
        <w:rPr>
          <w:sz w:val="22"/>
        </w:rPr>
        <w:t>Dooyeweerd’s</w:t>
      </w:r>
      <w:proofErr w:type="spellEnd"/>
      <w:r w:rsidR="00AF4676" w:rsidRPr="00AF4676">
        <w:rPr>
          <w:sz w:val="22"/>
        </w:rPr>
        <w:t xml:space="preserve"> </w:t>
      </w:r>
      <w:r w:rsidR="00EC508A">
        <w:rPr>
          <w:sz w:val="22"/>
        </w:rPr>
        <w:t xml:space="preserve">controversial </w:t>
      </w:r>
      <w:r w:rsidR="00AF4676" w:rsidRPr="00AF4676">
        <w:rPr>
          <w:sz w:val="22"/>
        </w:rPr>
        <w:t>view that human b</w:t>
      </w:r>
      <w:r>
        <w:rPr>
          <w:sz w:val="22"/>
        </w:rPr>
        <w:t>eings are necessarily “believers</w:t>
      </w:r>
      <w:r w:rsidR="00AF4676" w:rsidRPr="00AF4676">
        <w:rPr>
          <w:sz w:val="22"/>
        </w:rPr>
        <w:t xml:space="preserve">,” even those who do not belong to a traditional “religious” faith or community.  </w:t>
      </w:r>
      <w:proofErr w:type="spellStart"/>
      <w:r w:rsidR="00AF4676" w:rsidRPr="00AF4676">
        <w:rPr>
          <w:sz w:val="22"/>
        </w:rPr>
        <w:t>Dooyeweerd</w:t>
      </w:r>
      <w:proofErr w:type="spellEnd"/>
      <w:r w:rsidR="00AF4676" w:rsidRPr="00AF4676">
        <w:rPr>
          <w:sz w:val="22"/>
        </w:rPr>
        <w:t xml:space="preserve"> used the term ground-motives (</w:t>
      </w:r>
      <w:proofErr w:type="spellStart"/>
      <w:r w:rsidR="00AF4676" w:rsidRPr="00AF4676">
        <w:rPr>
          <w:i/>
          <w:iCs/>
          <w:sz w:val="22"/>
        </w:rPr>
        <w:t>grondmotieven</w:t>
      </w:r>
      <w:proofErr w:type="spellEnd"/>
      <w:r w:rsidR="00AF4676" w:rsidRPr="00AF4676">
        <w:rPr>
          <w:sz w:val="22"/>
        </w:rPr>
        <w:t xml:space="preserve">) to describe the various philosophical orientations that provide ideals and motivation in culture generally.  As to theoretical thought, there will always be </w:t>
      </w:r>
      <w:r w:rsidR="00AF4676" w:rsidRPr="00AF4676">
        <w:rPr>
          <w:i/>
          <w:iCs/>
          <w:sz w:val="22"/>
        </w:rPr>
        <w:t>pre</w:t>
      </w:r>
      <w:r w:rsidR="00AF4676" w:rsidRPr="00AF4676">
        <w:rPr>
          <w:sz w:val="22"/>
        </w:rPr>
        <w:t xml:space="preserve">-theoretical commitments that function </w:t>
      </w:r>
      <w:r w:rsidR="00E91D1E">
        <w:rPr>
          <w:sz w:val="22"/>
        </w:rPr>
        <w:t xml:space="preserve">like religious </w:t>
      </w:r>
      <w:proofErr w:type="gramStart"/>
      <w:r w:rsidR="00E91D1E">
        <w:rPr>
          <w:sz w:val="22"/>
        </w:rPr>
        <w:t xml:space="preserve">beliefs, </w:t>
      </w:r>
      <w:r w:rsidR="00AF4676" w:rsidRPr="00AF4676">
        <w:rPr>
          <w:sz w:val="22"/>
        </w:rPr>
        <w:t>that</w:t>
      </w:r>
      <w:proofErr w:type="gramEnd"/>
      <w:r w:rsidR="00AF4676" w:rsidRPr="00AF4676">
        <w:rPr>
          <w:sz w:val="22"/>
        </w:rPr>
        <w:t xml:space="preserve"> ground theory</w:t>
      </w:r>
      <w:r w:rsidR="00EC508A">
        <w:rPr>
          <w:sz w:val="22"/>
        </w:rPr>
        <w:t xml:space="preserve"> in any field of inquiry.</w:t>
      </w:r>
      <w:r>
        <w:rPr>
          <w:sz w:val="22"/>
        </w:rPr>
        <w:t xml:space="preserve">  According to</w:t>
      </w:r>
      <w:r w:rsidR="00AF4676" w:rsidRPr="00AF4676">
        <w:rPr>
          <w:sz w:val="22"/>
        </w:rPr>
        <w:t xml:space="preserve"> </w:t>
      </w:r>
      <w:r>
        <w:rPr>
          <w:sz w:val="22"/>
        </w:rPr>
        <w:t xml:space="preserve">van </w:t>
      </w:r>
      <w:proofErr w:type="spellStart"/>
      <w:r>
        <w:rPr>
          <w:sz w:val="22"/>
        </w:rPr>
        <w:t>Eikema</w:t>
      </w:r>
      <w:proofErr w:type="spellEnd"/>
      <w:r>
        <w:rPr>
          <w:sz w:val="22"/>
        </w:rPr>
        <w:t xml:space="preserve"> </w:t>
      </w:r>
      <w:proofErr w:type="spellStart"/>
      <w:r>
        <w:rPr>
          <w:sz w:val="22"/>
        </w:rPr>
        <w:t>Hommes</w:t>
      </w:r>
      <w:proofErr w:type="spellEnd"/>
      <w:r>
        <w:rPr>
          <w:sz w:val="22"/>
        </w:rPr>
        <w:t xml:space="preserve">, </w:t>
      </w:r>
      <w:proofErr w:type="spellStart"/>
      <w:r w:rsidR="00AF4676" w:rsidRPr="00AF4676">
        <w:rPr>
          <w:sz w:val="22"/>
        </w:rPr>
        <w:t>Dooyeweerd’s</w:t>
      </w:r>
      <w:proofErr w:type="spellEnd"/>
      <w:r w:rsidR="00AF4676" w:rsidRPr="00AF4676">
        <w:rPr>
          <w:sz w:val="22"/>
        </w:rPr>
        <w:t xml:space="preserve"> transcendental critique confirmed that theoretical thought is always “subject to fundamental, centrally religious motives which dominate a thinker at heart ….”  </w:t>
      </w:r>
      <w:proofErr w:type="gramStart"/>
      <w:r w:rsidR="00AF4676" w:rsidRPr="00AF4676">
        <w:rPr>
          <w:sz w:val="22"/>
        </w:rPr>
        <w:t>(</w:t>
      </w:r>
      <w:proofErr w:type="spellStart"/>
      <w:r w:rsidR="00AF4676" w:rsidRPr="00AF4676">
        <w:rPr>
          <w:sz w:val="22"/>
        </w:rPr>
        <w:t>Hommes</w:t>
      </w:r>
      <w:proofErr w:type="spellEnd"/>
      <w:r w:rsidR="00AF4676" w:rsidRPr="00AF4676">
        <w:rPr>
          <w:sz w:val="22"/>
        </w:rPr>
        <w:t>, 1979: 1).</w:t>
      </w:r>
      <w:proofErr w:type="gramEnd"/>
      <w:r w:rsidR="00AF4676" w:rsidRPr="00AF4676">
        <w:rPr>
          <w:sz w:val="22"/>
        </w:rPr>
        <w:t xml:space="preserve">  In his popularized formulation of that view, Nicholas </w:t>
      </w:r>
      <w:proofErr w:type="spellStart"/>
      <w:r w:rsidR="00AF4676" w:rsidRPr="00AF4676">
        <w:rPr>
          <w:sz w:val="22"/>
        </w:rPr>
        <w:t>Wolterstorff</w:t>
      </w:r>
      <w:proofErr w:type="spellEnd"/>
      <w:r w:rsidR="00AF4676" w:rsidRPr="00AF4676">
        <w:rPr>
          <w:sz w:val="22"/>
        </w:rPr>
        <w:t xml:space="preserve">, a philosopher influenced by </w:t>
      </w:r>
      <w:proofErr w:type="spellStart"/>
      <w:r w:rsidR="00AF4676" w:rsidRPr="00AF4676">
        <w:rPr>
          <w:sz w:val="22"/>
        </w:rPr>
        <w:t>Dooyeweerd</w:t>
      </w:r>
      <w:proofErr w:type="spellEnd"/>
      <w:r w:rsidR="00AF4676" w:rsidRPr="00AF4676">
        <w:rPr>
          <w:sz w:val="22"/>
        </w:rPr>
        <w:t xml:space="preserve">, calls these fundamental motives “control beliefs,” which function alongside data and “data-background beliefs” in theoretical thought: </w:t>
      </w:r>
    </w:p>
    <w:p w14:paraId="66715ED4" w14:textId="77777777" w:rsidR="00AF4676" w:rsidRPr="00AF4676" w:rsidRDefault="00AF4676" w:rsidP="009B5697">
      <w:pPr>
        <w:ind w:left="864" w:right="864"/>
        <w:jc w:val="both"/>
        <w:rPr>
          <w:sz w:val="22"/>
        </w:rPr>
      </w:pPr>
    </w:p>
    <w:p w14:paraId="66715ED5" w14:textId="77777777" w:rsidR="00AF4676" w:rsidRPr="00AF4676" w:rsidRDefault="00AF4676" w:rsidP="009B5697">
      <w:pPr>
        <w:ind w:left="864" w:right="864"/>
        <w:jc w:val="both"/>
        <w:rPr>
          <w:sz w:val="22"/>
        </w:rPr>
      </w:pPr>
      <w:r w:rsidRPr="00AF4676">
        <w:rPr>
          <w:sz w:val="22"/>
        </w:rPr>
        <w:t>[O]ne remains cloaked in belief – aware of some strands, unaware of most ….</w:t>
      </w:r>
    </w:p>
    <w:p w14:paraId="66715ED6" w14:textId="77777777" w:rsidR="00AF4676" w:rsidRPr="00AF4676" w:rsidRDefault="00AF4676" w:rsidP="009B5697">
      <w:pPr>
        <w:ind w:left="864" w:right="864"/>
        <w:jc w:val="both"/>
        <w:rPr>
          <w:sz w:val="22"/>
        </w:rPr>
      </w:pPr>
      <w:r w:rsidRPr="00AF4676">
        <w:rPr>
          <w:sz w:val="22"/>
        </w:rPr>
        <w:tab/>
        <w:t>For one thing, there will always be a large set of [data-background] beliefs such that one’s holding them is a condition of one’s accepting as data that which one does ….</w:t>
      </w:r>
    </w:p>
    <w:p w14:paraId="66715ED7" w14:textId="77777777" w:rsidR="00AF4676" w:rsidRPr="00AF4676" w:rsidRDefault="00AF4676" w:rsidP="009B5697">
      <w:pPr>
        <w:ind w:left="864" w:right="864"/>
        <w:jc w:val="both"/>
        <w:rPr>
          <w:sz w:val="22"/>
        </w:rPr>
      </w:pPr>
      <w:r w:rsidRPr="00AF4676">
        <w:rPr>
          <w:sz w:val="22"/>
        </w:rPr>
        <w:tab/>
        <w:t xml:space="preserve">[I]t is even more important to bring to attention a second component in the cloak of beliefs … while weighing a theory.  Everyone … has certain [control] beliefs as to what constitutes an acceptable </w:t>
      </w:r>
      <w:r w:rsidRPr="00AF4676">
        <w:rPr>
          <w:i/>
          <w:iCs/>
          <w:sz w:val="22"/>
        </w:rPr>
        <w:t>sort</w:t>
      </w:r>
      <w:r w:rsidRPr="00AF4676">
        <w:rPr>
          <w:sz w:val="22"/>
        </w:rPr>
        <w:t xml:space="preserve"> of theory on the matter under consideration ….  Because we hold them we are led to </w:t>
      </w:r>
      <w:r w:rsidRPr="00AF4676">
        <w:rPr>
          <w:i/>
          <w:iCs/>
          <w:sz w:val="22"/>
        </w:rPr>
        <w:t>reject</w:t>
      </w:r>
      <w:r w:rsidRPr="00AF4676">
        <w:rPr>
          <w:sz w:val="22"/>
        </w:rPr>
        <w:t xml:space="preserve"> certain sorts of theories – … control beliefs also lead us to devise theories …. We want theories … that comport as well as possible with those beliefs (</w:t>
      </w:r>
      <w:proofErr w:type="spellStart"/>
      <w:r w:rsidRPr="00AF4676">
        <w:rPr>
          <w:sz w:val="22"/>
        </w:rPr>
        <w:t>Wolterstorff</w:t>
      </w:r>
      <w:proofErr w:type="spellEnd"/>
      <w:r w:rsidRPr="00AF4676">
        <w:rPr>
          <w:sz w:val="22"/>
        </w:rPr>
        <w:t xml:space="preserve"> 1976: 62-64).</w:t>
      </w:r>
    </w:p>
    <w:p w14:paraId="66715ED8" w14:textId="77777777" w:rsidR="00AF4676" w:rsidRPr="00AF4676" w:rsidRDefault="00AF4676" w:rsidP="009B5697">
      <w:pPr>
        <w:ind w:left="864" w:right="864"/>
        <w:jc w:val="both"/>
        <w:rPr>
          <w:sz w:val="22"/>
        </w:rPr>
      </w:pPr>
    </w:p>
    <w:p w14:paraId="66715ED9" w14:textId="77777777" w:rsidR="00AF4676" w:rsidRPr="00AF4676" w:rsidRDefault="00AF4676" w:rsidP="009B5697">
      <w:pPr>
        <w:ind w:left="864" w:right="864"/>
        <w:jc w:val="both"/>
        <w:rPr>
          <w:sz w:val="22"/>
        </w:rPr>
      </w:pPr>
    </w:p>
    <w:p w14:paraId="66715EDA" w14:textId="77777777" w:rsidR="00AF4676" w:rsidRPr="00AF4676" w:rsidRDefault="00AF4676" w:rsidP="009B5697">
      <w:pPr>
        <w:jc w:val="both"/>
        <w:rPr>
          <w:sz w:val="22"/>
        </w:rPr>
      </w:pPr>
      <w:r w:rsidRPr="00AF4676">
        <w:rPr>
          <w:sz w:val="22"/>
        </w:rPr>
        <w:t xml:space="preserve">In a more sophisticated formulation, </w:t>
      </w:r>
      <w:proofErr w:type="spellStart"/>
      <w:r w:rsidRPr="00AF4676">
        <w:rPr>
          <w:sz w:val="22"/>
        </w:rPr>
        <w:t>Hendrik</w:t>
      </w:r>
      <w:proofErr w:type="spellEnd"/>
      <w:r w:rsidRPr="00AF4676">
        <w:rPr>
          <w:sz w:val="22"/>
        </w:rPr>
        <w:t xml:space="preserve"> Hart, a philosophical heir and friendly critic of </w:t>
      </w:r>
      <w:proofErr w:type="spellStart"/>
      <w:r w:rsidRPr="00AF4676">
        <w:rPr>
          <w:sz w:val="22"/>
        </w:rPr>
        <w:t>Dooyeweerd</w:t>
      </w:r>
      <w:proofErr w:type="spellEnd"/>
      <w:r w:rsidRPr="00AF4676">
        <w:rPr>
          <w:sz w:val="22"/>
        </w:rPr>
        <w:t>, highlights the challenge</w:t>
      </w:r>
    </w:p>
    <w:p w14:paraId="66715EDB" w14:textId="77777777" w:rsidR="00AF4676" w:rsidRPr="00AF4676" w:rsidRDefault="00AF4676" w:rsidP="009B5697">
      <w:pPr>
        <w:ind w:left="864" w:right="864"/>
        <w:jc w:val="both"/>
        <w:rPr>
          <w:sz w:val="22"/>
        </w:rPr>
      </w:pPr>
    </w:p>
    <w:p w14:paraId="66715EDC" w14:textId="77777777" w:rsidR="00AF4676" w:rsidRPr="00AF4676" w:rsidRDefault="00AF4676" w:rsidP="009B5697">
      <w:pPr>
        <w:ind w:left="864" w:right="864"/>
        <w:jc w:val="both"/>
        <w:rPr>
          <w:sz w:val="22"/>
        </w:rPr>
      </w:pPr>
      <w:proofErr w:type="gramStart"/>
      <w:r w:rsidRPr="00AF4676">
        <w:rPr>
          <w:sz w:val="22"/>
        </w:rPr>
        <w:t>to</w:t>
      </w:r>
      <w:proofErr w:type="gramEnd"/>
      <w:r w:rsidRPr="00AF4676">
        <w:rPr>
          <w:sz w:val="22"/>
        </w:rPr>
        <w:t xml:space="preserve"> look for the </w:t>
      </w:r>
      <w:proofErr w:type="spellStart"/>
      <w:r w:rsidRPr="00AF4676">
        <w:rPr>
          <w:sz w:val="22"/>
        </w:rPr>
        <w:t>extratheoretical</w:t>
      </w:r>
      <w:proofErr w:type="spellEnd"/>
      <w:r w:rsidRPr="00AF4676">
        <w:rPr>
          <w:sz w:val="22"/>
        </w:rPr>
        <w:t xml:space="preserve"> factors needed to complete theory.  Over twenty years before … Polanyi’s … </w:t>
      </w:r>
      <w:r w:rsidRPr="00AF4676">
        <w:rPr>
          <w:i/>
          <w:iCs/>
          <w:sz w:val="22"/>
        </w:rPr>
        <w:t xml:space="preserve">Personal Knowledge </w:t>
      </w:r>
      <w:r w:rsidRPr="00AF4676">
        <w:rPr>
          <w:sz w:val="22"/>
        </w:rPr>
        <w:t xml:space="preserve">[1958] …, </w:t>
      </w:r>
      <w:proofErr w:type="spellStart"/>
      <w:r w:rsidRPr="00AF4676">
        <w:rPr>
          <w:sz w:val="22"/>
        </w:rPr>
        <w:t>Dooyeweerd</w:t>
      </w:r>
      <w:proofErr w:type="spellEnd"/>
      <w:r w:rsidRPr="00AF4676">
        <w:rPr>
          <w:sz w:val="22"/>
        </w:rPr>
        <w:t xml:space="preserve"> forcefully advanced the conviction that knowledge … is personal …., [which] reinforces the concept of the relativity of the rational aspect of human experience.  </w:t>
      </w:r>
      <w:proofErr w:type="spellStart"/>
      <w:r w:rsidRPr="00AF4676">
        <w:rPr>
          <w:sz w:val="22"/>
        </w:rPr>
        <w:t>Dooyeweerd</w:t>
      </w:r>
      <w:proofErr w:type="spellEnd"/>
      <w:r w:rsidRPr="00AF4676">
        <w:rPr>
          <w:sz w:val="22"/>
        </w:rPr>
        <w:t xml:space="preserve"> never subscribed to the view which treats our </w:t>
      </w:r>
      <w:proofErr w:type="spellStart"/>
      <w:r w:rsidRPr="00AF4676">
        <w:rPr>
          <w:sz w:val="22"/>
        </w:rPr>
        <w:t>conceptional</w:t>
      </w:r>
      <w:proofErr w:type="spellEnd"/>
      <w:r w:rsidRPr="00AF4676">
        <w:rPr>
          <w:sz w:val="22"/>
        </w:rPr>
        <w:t xml:space="preserve"> faculties as autonomous, isolated and substantivized ….  </w:t>
      </w:r>
      <w:proofErr w:type="gramStart"/>
      <w:r w:rsidRPr="00AF4676">
        <w:rPr>
          <w:sz w:val="22"/>
        </w:rPr>
        <w:t>(Hart, 1985: 151).</w:t>
      </w:r>
      <w:proofErr w:type="gramEnd"/>
    </w:p>
    <w:p w14:paraId="66715EDD" w14:textId="77777777" w:rsidR="00AF4676" w:rsidRPr="00AF4676" w:rsidRDefault="00AF4676" w:rsidP="009B5697">
      <w:pPr>
        <w:ind w:left="864" w:right="864"/>
        <w:jc w:val="both"/>
        <w:rPr>
          <w:sz w:val="22"/>
        </w:rPr>
      </w:pPr>
    </w:p>
    <w:p w14:paraId="66715EDE" w14:textId="77777777" w:rsidR="00AF4676" w:rsidRPr="00AF4676" w:rsidRDefault="00AF4676" w:rsidP="009B5697">
      <w:pPr>
        <w:ind w:left="864" w:right="864"/>
        <w:jc w:val="both"/>
        <w:rPr>
          <w:sz w:val="22"/>
        </w:rPr>
      </w:pPr>
    </w:p>
    <w:p w14:paraId="66715EDF" w14:textId="77777777" w:rsidR="00AF4676" w:rsidRPr="00AF4676" w:rsidRDefault="00AF4676" w:rsidP="009B5697">
      <w:pPr>
        <w:jc w:val="both"/>
        <w:rPr>
          <w:sz w:val="22"/>
        </w:rPr>
      </w:pPr>
      <w:r w:rsidRPr="00AF4676">
        <w:rPr>
          <w:sz w:val="22"/>
        </w:rPr>
        <w:t xml:space="preserve">Hence </w:t>
      </w:r>
      <w:proofErr w:type="spellStart"/>
      <w:r w:rsidRPr="00AF4676">
        <w:rPr>
          <w:sz w:val="22"/>
        </w:rPr>
        <w:t>Dooyeweerd’s</w:t>
      </w:r>
      <w:proofErr w:type="spellEnd"/>
      <w:r w:rsidRPr="00AF4676">
        <w:rPr>
          <w:sz w:val="22"/>
        </w:rPr>
        <w:t xml:space="preserve"> exhaustive critique of “t</w:t>
      </w:r>
      <w:r w:rsidR="0003591D">
        <w:rPr>
          <w:sz w:val="22"/>
        </w:rPr>
        <w:t>he pretended autonomy of reason</w:t>
      </w:r>
      <w:r w:rsidRPr="00AF4676">
        <w:rPr>
          <w:sz w:val="22"/>
        </w:rPr>
        <w:t>”</w:t>
      </w:r>
      <w:r w:rsidR="0003591D">
        <w:rPr>
          <w:sz w:val="22"/>
        </w:rPr>
        <w:t>;</w:t>
      </w:r>
      <w:r w:rsidRPr="00AF4676">
        <w:rPr>
          <w:sz w:val="22"/>
        </w:rPr>
        <w:t xml:space="preserve"> because of the relativity of rational knowing, reason is not the “measure of the truth about … the world” (Ibid.).</w:t>
      </w:r>
    </w:p>
    <w:p w14:paraId="66715EE0" w14:textId="77777777" w:rsidR="00AF4676" w:rsidRPr="00AF4676" w:rsidRDefault="00AF4676" w:rsidP="009B5697">
      <w:pPr>
        <w:autoSpaceDE w:val="0"/>
        <w:autoSpaceDN w:val="0"/>
        <w:adjustRightInd w:val="0"/>
        <w:jc w:val="both"/>
        <w:rPr>
          <w:rFonts w:ascii="Times-Roman" w:hAnsi="Times-Roman" w:cs="Times-Roman"/>
          <w:sz w:val="22"/>
          <w:szCs w:val="22"/>
        </w:rPr>
      </w:pPr>
    </w:p>
    <w:p w14:paraId="66715EE1" w14:textId="77777777" w:rsidR="00AF4676" w:rsidRPr="00AF4676" w:rsidRDefault="00AF4676" w:rsidP="009B5697">
      <w:pPr>
        <w:autoSpaceDE w:val="0"/>
        <w:autoSpaceDN w:val="0"/>
        <w:adjustRightInd w:val="0"/>
        <w:jc w:val="both"/>
        <w:rPr>
          <w:rFonts w:ascii="Times-Roman" w:hAnsi="Times-Roman" w:cs="Times-Roman"/>
          <w:i/>
          <w:sz w:val="22"/>
          <w:szCs w:val="22"/>
        </w:rPr>
      </w:pPr>
    </w:p>
    <w:p w14:paraId="66715EE2" w14:textId="77777777" w:rsidR="006C0333" w:rsidRDefault="006C0333" w:rsidP="009B5697">
      <w:pPr>
        <w:autoSpaceDE w:val="0"/>
        <w:autoSpaceDN w:val="0"/>
        <w:adjustRightInd w:val="0"/>
        <w:jc w:val="both"/>
        <w:rPr>
          <w:rFonts w:ascii="Times-Roman" w:hAnsi="Times-Roman" w:cs="Times-Roman"/>
          <w:i/>
          <w:sz w:val="22"/>
          <w:szCs w:val="22"/>
        </w:rPr>
      </w:pPr>
    </w:p>
    <w:p w14:paraId="66715EE3" w14:textId="77777777" w:rsidR="004E5727" w:rsidRPr="000A7F24" w:rsidRDefault="00D433D1" w:rsidP="000A7F24">
      <w:pPr>
        <w:spacing w:before="100" w:beforeAutospacing="1" w:after="100" w:afterAutospacing="1"/>
        <w:outlineLvl w:val="1"/>
        <w:rPr>
          <w:b/>
          <w:bCs/>
          <w:sz w:val="36"/>
          <w:szCs w:val="36"/>
        </w:rPr>
      </w:pPr>
      <w:proofErr w:type="spellStart"/>
      <w:r w:rsidRPr="000A7F24">
        <w:rPr>
          <w:b/>
          <w:bCs/>
          <w:sz w:val="36"/>
          <w:szCs w:val="36"/>
        </w:rPr>
        <w:t>Kuyper</w:t>
      </w:r>
      <w:proofErr w:type="spellEnd"/>
      <w:r w:rsidRPr="000A7F24">
        <w:rPr>
          <w:b/>
          <w:bCs/>
          <w:sz w:val="36"/>
          <w:szCs w:val="36"/>
        </w:rPr>
        <w:t xml:space="preserve"> and </w:t>
      </w:r>
      <w:proofErr w:type="spellStart"/>
      <w:r w:rsidRPr="000A7F24">
        <w:rPr>
          <w:b/>
          <w:bCs/>
          <w:sz w:val="36"/>
          <w:szCs w:val="36"/>
        </w:rPr>
        <w:t>Dooyeweerd</w:t>
      </w:r>
      <w:proofErr w:type="spellEnd"/>
    </w:p>
    <w:p w14:paraId="66715EE4" w14:textId="77777777" w:rsidR="00B16B2F" w:rsidRPr="009B5697" w:rsidRDefault="0052387D" w:rsidP="009B5697">
      <w:pPr>
        <w:jc w:val="both"/>
        <w:rPr>
          <w:sz w:val="22"/>
        </w:rPr>
      </w:pPr>
      <w:r w:rsidRPr="009B5697">
        <w:rPr>
          <w:sz w:val="22"/>
        </w:rPr>
        <w:t>An important feature</w:t>
      </w:r>
      <w:r w:rsidR="00B16B2F" w:rsidRPr="009B5697">
        <w:rPr>
          <w:sz w:val="22"/>
        </w:rPr>
        <w:t xml:space="preserve"> of </w:t>
      </w:r>
      <w:r w:rsidRPr="009B5697">
        <w:rPr>
          <w:sz w:val="22"/>
        </w:rPr>
        <w:t xml:space="preserve">Abraham </w:t>
      </w:r>
      <w:proofErr w:type="spellStart"/>
      <w:r w:rsidR="00B16B2F" w:rsidRPr="009B5697">
        <w:rPr>
          <w:sz w:val="22"/>
        </w:rPr>
        <w:t>Kuyper’s</w:t>
      </w:r>
      <w:proofErr w:type="spellEnd"/>
      <w:r w:rsidR="00B16B2F" w:rsidRPr="009B5697">
        <w:rPr>
          <w:sz w:val="22"/>
        </w:rPr>
        <w:t xml:space="preserve"> thought that is reflected in </w:t>
      </w:r>
      <w:proofErr w:type="spellStart"/>
      <w:r w:rsidR="00B16B2F" w:rsidRPr="009B5697">
        <w:rPr>
          <w:sz w:val="22"/>
        </w:rPr>
        <w:t>Dooyeweerd’</w:t>
      </w:r>
      <w:r w:rsidRPr="009B5697">
        <w:rPr>
          <w:sz w:val="22"/>
        </w:rPr>
        <w:t>s</w:t>
      </w:r>
      <w:proofErr w:type="spellEnd"/>
      <w:r w:rsidRPr="009B5697">
        <w:rPr>
          <w:sz w:val="22"/>
        </w:rPr>
        <w:t xml:space="preserve"> work</w:t>
      </w:r>
      <w:r w:rsidR="00B16B2F" w:rsidRPr="009B5697">
        <w:rPr>
          <w:sz w:val="22"/>
        </w:rPr>
        <w:t xml:space="preserve"> is</w:t>
      </w:r>
    </w:p>
    <w:p w14:paraId="66715EE5" w14:textId="77777777" w:rsidR="00C60A5E" w:rsidRPr="009B5697" w:rsidRDefault="00B16B2F" w:rsidP="009B5697">
      <w:pPr>
        <w:jc w:val="both"/>
        <w:rPr>
          <w:sz w:val="22"/>
        </w:rPr>
      </w:pPr>
      <w:proofErr w:type="gramStart"/>
      <w:r w:rsidRPr="009B5697">
        <w:rPr>
          <w:sz w:val="22"/>
        </w:rPr>
        <w:t>the</w:t>
      </w:r>
      <w:proofErr w:type="gramEnd"/>
      <w:r w:rsidRPr="009B5697">
        <w:rPr>
          <w:sz w:val="22"/>
        </w:rPr>
        <w:t xml:space="preserve"> strong commitment to pluralism—</w:t>
      </w:r>
      <w:proofErr w:type="spellStart"/>
      <w:r w:rsidRPr="009B5697">
        <w:rPr>
          <w:sz w:val="22"/>
        </w:rPr>
        <w:t>Kuyper’s</w:t>
      </w:r>
      <w:proofErr w:type="spellEnd"/>
      <w:r w:rsidRPr="009B5697">
        <w:rPr>
          <w:sz w:val="22"/>
        </w:rPr>
        <w:t xml:space="preserve"> view of “law and the state wa</w:t>
      </w:r>
      <w:r w:rsidR="00C60A5E" w:rsidRPr="009B5697">
        <w:rPr>
          <w:sz w:val="22"/>
        </w:rPr>
        <w:t xml:space="preserve">s </w:t>
      </w:r>
      <w:r w:rsidRPr="009B5697">
        <w:rPr>
          <w:sz w:val="22"/>
        </w:rPr>
        <w:t xml:space="preserve">in good measure </w:t>
      </w:r>
    </w:p>
    <w:p w14:paraId="66715EE6" w14:textId="77777777" w:rsidR="00C60A5E" w:rsidRPr="009B5697" w:rsidRDefault="00B16B2F" w:rsidP="009B5697">
      <w:pPr>
        <w:jc w:val="both"/>
        <w:rPr>
          <w:sz w:val="22"/>
        </w:rPr>
      </w:pPr>
      <w:proofErr w:type="gramStart"/>
      <w:r w:rsidRPr="009B5697">
        <w:rPr>
          <w:sz w:val="22"/>
        </w:rPr>
        <w:t>shaped</w:t>
      </w:r>
      <w:proofErr w:type="gramEnd"/>
      <w:r w:rsidRPr="009B5697">
        <w:rPr>
          <w:sz w:val="22"/>
        </w:rPr>
        <w:t xml:space="preserve"> by the question of how people of diverse worldviews</w:t>
      </w:r>
      <w:r w:rsidR="00C60A5E" w:rsidRPr="009B5697">
        <w:rPr>
          <w:sz w:val="22"/>
        </w:rPr>
        <w:t xml:space="preserve"> c</w:t>
      </w:r>
      <w:r w:rsidRPr="009B5697">
        <w:rPr>
          <w:sz w:val="22"/>
        </w:rPr>
        <w:t>an live together in peace and</w:t>
      </w:r>
      <w:r w:rsidR="0052387D" w:rsidRPr="009B5697">
        <w:rPr>
          <w:sz w:val="22"/>
        </w:rPr>
        <w:t xml:space="preserve"> justice </w:t>
      </w:r>
    </w:p>
    <w:p w14:paraId="66715EE7" w14:textId="77777777" w:rsidR="00C60A5E" w:rsidRDefault="0052387D" w:rsidP="009B5697">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within</w:t>
      </w:r>
      <w:proofErr w:type="gramEnd"/>
      <w:r>
        <w:rPr>
          <w:rFonts w:ascii="Times-Roman" w:hAnsi="Times-Roman" w:cs="Times-Roman"/>
          <w:sz w:val="22"/>
          <w:szCs w:val="22"/>
        </w:rPr>
        <w:t xml:space="preserve"> the same polity</w:t>
      </w:r>
      <w:r w:rsidR="00B16B2F">
        <w:rPr>
          <w:rFonts w:ascii="Times-Roman" w:hAnsi="Times-Roman" w:cs="Times-Roman"/>
          <w:sz w:val="22"/>
          <w:szCs w:val="22"/>
        </w:rPr>
        <w:t>”</w:t>
      </w:r>
      <w:r>
        <w:rPr>
          <w:rFonts w:ascii="Times-Roman" w:hAnsi="Times-Roman" w:cs="Times-Roman"/>
          <w:sz w:val="22"/>
          <w:szCs w:val="22"/>
        </w:rPr>
        <w:t xml:space="preserve"> (</w:t>
      </w:r>
      <w:proofErr w:type="spellStart"/>
      <w:r>
        <w:rPr>
          <w:rFonts w:ascii="Times-Roman" w:hAnsi="Times-Roman" w:cs="Times-Roman"/>
          <w:sz w:val="22"/>
          <w:szCs w:val="22"/>
        </w:rPr>
        <w:t>Wolterstor</w:t>
      </w:r>
      <w:r w:rsidR="004E5727">
        <w:rPr>
          <w:rFonts w:ascii="Times-Roman" w:hAnsi="Times-Roman" w:cs="Times-Roman"/>
          <w:sz w:val="22"/>
          <w:szCs w:val="22"/>
        </w:rPr>
        <w:t>ff</w:t>
      </w:r>
      <w:proofErr w:type="spellEnd"/>
      <w:r w:rsidR="004E5727">
        <w:rPr>
          <w:rFonts w:ascii="Times-Roman" w:hAnsi="Times-Roman" w:cs="Times-Roman"/>
          <w:sz w:val="22"/>
          <w:szCs w:val="22"/>
        </w:rPr>
        <w:t>, 2005</w:t>
      </w:r>
      <w:r>
        <w:rPr>
          <w:rFonts w:ascii="Times-Roman" w:hAnsi="Times-Roman" w:cs="Times-Roman"/>
          <w:sz w:val="22"/>
          <w:szCs w:val="22"/>
        </w:rPr>
        <w:t>: 299).</w:t>
      </w:r>
      <w:r>
        <w:rPr>
          <w:rFonts w:ascii="Times-Roman" w:hAnsi="Times-Roman" w:cs="Times-Roman"/>
          <w:sz w:val="13"/>
          <w:szCs w:val="13"/>
        </w:rPr>
        <w:t xml:space="preserve">  </w:t>
      </w:r>
      <w:r w:rsidR="00B16B2F">
        <w:rPr>
          <w:rFonts w:ascii="Times-Roman" w:hAnsi="Times-Roman" w:cs="Times-Roman"/>
          <w:sz w:val="13"/>
          <w:szCs w:val="13"/>
        </w:rPr>
        <w:t xml:space="preserve"> </w:t>
      </w:r>
      <w:proofErr w:type="spellStart"/>
      <w:r w:rsidR="00B16B2F">
        <w:rPr>
          <w:rFonts w:ascii="Times-Roman" w:hAnsi="Times-Roman" w:cs="Times-Roman"/>
          <w:sz w:val="22"/>
          <w:szCs w:val="22"/>
        </w:rPr>
        <w:t>Kuyper’s</w:t>
      </w:r>
      <w:proofErr w:type="spellEnd"/>
      <w:r w:rsidR="00C60A5E">
        <w:rPr>
          <w:rFonts w:ascii="Times-Roman" w:hAnsi="Times-Roman" w:cs="Times-Roman"/>
          <w:sz w:val="22"/>
          <w:szCs w:val="22"/>
        </w:rPr>
        <w:t xml:space="preserve"> </w:t>
      </w:r>
      <w:r w:rsidR="00B16B2F">
        <w:rPr>
          <w:rFonts w:ascii="Times-Roman" w:hAnsi="Times-Roman" w:cs="Times-Roman"/>
          <w:sz w:val="22"/>
          <w:szCs w:val="22"/>
        </w:rPr>
        <w:t>answer, predictably, was not</w:t>
      </w:r>
      <w:r w:rsidR="00C469B9">
        <w:rPr>
          <w:rFonts w:ascii="Times-Roman" w:hAnsi="Times-Roman" w:cs="Times-Roman"/>
          <w:sz w:val="22"/>
          <w:szCs w:val="22"/>
        </w:rPr>
        <w:t xml:space="preserve"> based </w:t>
      </w:r>
    </w:p>
    <w:p w14:paraId="66715EE8" w14:textId="77777777" w:rsidR="00980047" w:rsidRDefault="00C469B9" w:rsidP="009B5697">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on</w:t>
      </w:r>
      <w:proofErr w:type="gramEnd"/>
      <w:r>
        <w:rPr>
          <w:rFonts w:ascii="Times-Roman" w:hAnsi="Times-Roman" w:cs="Times-Roman"/>
          <w:sz w:val="22"/>
          <w:szCs w:val="22"/>
        </w:rPr>
        <w:t xml:space="preserve"> some notion of</w:t>
      </w:r>
      <w:r w:rsidR="00B16B2F">
        <w:rPr>
          <w:rFonts w:ascii="Times-Roman" w:hAnsi="Times-Roman" w:cs="Times-Roman"/>
          <w:sz w:val="22"/>
          <w:szCs w:val="22"/>
        </w:rPr>
        <w:t xml:space="preserve"> neutral principles</w:t>
      </w:r>
      <w:r w:rsidR="00C60A5E">
        <w:rPr>
          <w:rFonts w:ascii="Times-Roman" w:hAnsi="Times-Roman" w:cs="Times-Roman"/>
          <w:sz w:val="22"/>
          <w:szCs w:val="22"/>
        </w:rPr>
        <w:t xml:space="preserve"> </w:t>
      </w:r>
      <w:r>
        <w:rPr>
          <w:rFonts w:ascii="Times-Roman" w:hAnsi="Times-Roman" w:cs="Times-Roman"/>
          <w:sz w:val="22"/>
          <w:szCs w:val="22"/>
        </w:rPr>
        <w:t>or</w:t>
      </w:r>
      <w:r w:rsidR="00980047">
        <w:rPr>
          <w:rFonts w:ascii="Times-Roman" w:hAnsi="Times-Roman" w:cs="Times-Roman"/>
          <w:sz w:val="22"/>
          <w:szCs w:val="22"/>
        </w:rPr>
        <w:t xml:space="preserve"> “public reason”—a belief-system</w:t>
      </w:r>
      <w:r w:rsidR="00B16B2F">
        <w:rPr>
          <w:rFonts w:ascii="Times-Roman" w:hAnsi="Times-Roman" w:cs="Times-Roman"/>
          <w:sz w:val="22"/>
          <w:szCs w:val="22"/>
        </w:rPr>
        <w:t xml:space="preserve"> for </w:t>
      </w:r>
      <w:proofErr w:type="spellStart"/>
      <w:r w:rsidR="00B16B2F">
        <w:rPr>
          <w:rFonts w:ascii="Times-Roman" w:hAnsi="Times-Roman" w:cs="Times-Roman"/>
          <w:sz w:val="22"/>
          <w:szCs w:val="22"/>
        </w:rPr>
        <w:t>Kuyper</w:t>
      </w:r>
      <w:proofErr w:type="spellEnd"/>
      <w:r w:rsidR="00B16B2F">
        <w:rPr>
          <w:rFonts w:ascii="Times-Roman" w:hAnsi="Times-Roman" w:cs="Times-Roman"/>
          <w:sz w:val="22"/>
          <w:szCs w:val="22"/>
        </w:rPr>
        <w:t xml:space="preserve"> is not a </w:t>
      </w:r>
    </w:p>
    <w:p w14:paraId="66715EE9" w14:textId="77777777" w:rsidR="00980047" w:rsidRDefault="00980047" w:rsidP="009B5697">
      <w:pPr>
        <w:autoSpaceDE w:val="0"/>
        <w:autoSpaceDN w:val="0"/>
        <w:adjustRightInd w:val="0"/>
        <w:jc w:val="both"/>
        <w:rPr>
          <w:rFonts w:ascii="Times-Roman" w:hAnsi="Times-Roman" w:cs="Times-Roman"/>
          <w:sz w:val="22"/>
          <w:szCs w:val="22"/>
        </w:rPr>
      </w:pPr>
    </w:p>
    <w:p w14:paraId="66715EEA" w14:textId="77777777" w:rsidR="00980047" w:rsidRDefault="00B16B2F" w:rsidP="009B5697">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dispensable</w:t>
      </w:r>
      <w:proofErr w:type="gramEnd"/>
      <w:r>
        <w:rPr>
          <w:rFonts w:ascii="Times-Roman" w:hAnsi="Times-Roman" w:cs="Times-Roman"/>
          <w:sz w:val="22"/>
          <w:szCs w:val="22"/>
        </w:rPr>
        <w:t xml:space="preserve"> </w:t>
      </w:r>
      <w:r w:rsidR="00980047">
        <w:rPr>
          <w:rFonts w:ascii="Times-Roman" w:hAnsi="Times-Roman" w:cs="Times-Roman"/>
          <w:sz w:val="22"/>
          <w:szCs w:val="22"/>
        </w:rPr>
        <w:t xml:space="preserve">add-on.  </w:t>
      </w:r>
      <w:r>
        <w:rPr>
          <w:rFonts w:ascii="Times-Roman" w:hAnsi="Times-Roman" w:cs="Times-Roman"/>
          <w:sz w:val="22"/>
          <w:szCs w:val="22"/>
        </w:rPr>
        <w:t>Rather,</w:t>
      </w:r>
      <w:r w:rsidR="00C60A5E">
        <w:rPr>
          <w:rFonts w:ascii="Times-Roman" w:hAnsi="Times-Roman" w:cs="Times-Roman"/>
          <w:sz w:val="22"/>
          <w:szCs w:val="22"/>
        </w:rPr>
        <w:t xml:space="preserve"> </w:t>
      </w:r>
      <w:r>
        <w:rPr>
          <w:rFonts w:ascii="Times-Roman" w:hAnsi="Times-Roman" w:cs="Times-Roman"/>
          <w:sz w:val="22"/>
          <w:szCs w:val="22"/>
        </w:rPr>
        <w:t xml:space="preserve">for </w:t>
      </w:r>
      <w:proofErr w:type="spellStart"/>
      <w:r>
        <w:rPr>
          <w:rFonts w:ascii="Times-Roman" w:hAnsi="Times-Roman" w:cs="Times-Roman"/>
          <w:sz w:val="22"/>
          <w:szCs w:val="22"/>
        </w:rPr>
        <w:t>Kuyper</w:t>
      </w:r>
      <w:proofErr w:type="spellEnd"/>
      <w:r>
        <w:rPr>
          <w:rFonts w:ascii="Times-Roman" w:hAnsi="Times-Roman" w:cs="Times-Roman"/>
          <w:sz w:val="22"/>
          <w:szCs w:val="22"/>
        </w:rPr>
        <w:t xml:space="preserve">, “a person’s worldview pervades and comprehends his or </w:t>
      </w:r>
    </w:p>
    <w:p w14:paraId="66715EEB" w14:textId="77777777" w:rsidR="00B16B2F" w:rsidRDefault="00B16B2F" w:rsidP="009B5697">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her</w:t>
      </w:r>
      <w:proofErr w:type="gramEnd"/>
      <w:r w:rsidR="00980047">
        <w:rPr>
          <w:rFonts w:ascii="Times-Roman" w:hAnsi="Times-Roman" w:cs="Times-Roman"/>
          <w:sz w:val="22"/>
          <w:szCs w:val="22"/>
        </w:rPr>
        <w:t xml:space="preserve"> </w:t>
      </w:r>
      <w:r w:rsidR="0052387D">
        <w:rPr>
          <w:rFonts w:ascii="Times-Roman" w:hAnsi="Times-Roman" w:cs="Times-Roman"/>
          <w:sz w:val="22"/>
          <w:szCs w:val="22"/>
        </w:rPr>
        <w:t>thought in general</w:t>
      </w:r>
      <w:r>
        <w:rPr>
          <w:rFonts w:ascii="Times-Roman" w:hAnsi="Times-Roman" w:cs="Times-Roman"/>
          <w:sz w:val="22"/>
          <w:szCs w:val="22"/>
        </w:rPr>
        <w:t>”</w:t>
      </w:r>
      <w:r w:rsidR="0052387D">
        <w:rPr>
          <w:rFonts w:ascii="Times-Roman" w:hAnsi="Times-Roman" w:cs="Times-Roman"/>
          <w:sz w:val="22"/>
          <w:szCs w:val="22"/>
        </w:rPr>
        <w:t xml:space="preserve"> (Ibid., 300).</w:t>
      </w:r>
      <w:r w:rsidR="0052387D">
        <w:rPr>
          <w:rFonts w:ascii="Times-Roman" w:hAnsi="Times-Roman" w:cs="Times-Roman"/>
          <w:sz w:val="13"/>
          <w:szCs w:val="13"/>
        </w:rPr>
        <w:t xml:space="preserve">  </w:t>
      </w:r>
      <w:r>
        <w:rPr>
          <w:rFonts w:ascii="Times-Roman" w:hAnsi="Times-Roman" w:cs="Times-Roman"/>
          <w:sz w:val="13"/>
          <w:szCs w:val="13"/>
        </w:rPr>
        <w:t xml:space="preserve"> </w:t>
      </w:r>
      <w:r w:rsidR="00C469B9">
        <w:rPr>
          <w:rFonts w:ascii="Times-Roman" w:hAnsi="Times-Roman" w:cs="Times-Roman"/>
          <w:sz w:val="22"/>
          <w:szCs w:val="22"/>
        </w:rPr>
        <w:t>Legal</w:t>
      </w:r>
      <w:r>
        <w:rPr>
          <w:rFonts w:ascii="Times-Roman" w:hAnsi="Times-Roman" w:cs="Times-Roman"/>
          <w:sz w:val="22"/>
          <w:szCs w:val="22"/>
        </w:rPr>
        <w:t xml:space="preserve"> or political theory is therefore never neutral—the</w:t>
      </w:r>
    </w:p>
    <w:p w14:paraId="66715EEC" w14:textId="77777777" w:rsidR="00B16B2F" w:rsidRDefault="00B16B2F" w:rsidP="009B5697">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parallels</w:t>
      </w:r>
      <w:proofErr w:type="gramEnd"/>
      <w:r>
        <w:rPr>
          <w:rFonts w:ascii="Times-Roman" w:hAnsi="Times-Roman" w:cs="Times-Roman"/>
          <w:sz w:val="22"/>
          <w:szCs w:val="22"/>
        </w:rPr>
        <w:t xml:space="preserve"> with </w:t>
      </w:r>
      <w:proofErr w:type="spellStart"/>
      <w:r>
        <w:rPr>
          <w:rFonts w:ascii="Times-Roman" w:hAnsi="Times-Roman" w:cs="Times-Roman"/>
          <w:sz w:val="22"/>
          <w:szCs w:val="22"/>
        </w:rPr>
        <w:t>perspectivalism</w:t>
      </w:r>
      <w:proofErr w:type="spellEnd"/>
      <w:r>
        <w:rPr>
          <w:rFonts w:ascii="Times-Roman" w:hAnsi="Times-Roman" w:cs="Times-Roman"/>
          <w:sz w:val="22"/>
          <w:szCs w:val="22"/>
        </w:rPr>
        <w:t xml:space="preserve"> are evident—so disagreements are inevitable.</w:t>
      </w:r>
      <w:r w:rsidR="00680C7B">
        <w:rPr>
          <w:rFonts w:ascii="Times-Roman" w:hAnsi="Times-Roman" w:cs="Times-Roman"/>
          <w:sz w:val="22"/>
          <w:szCs w:val="22"/>
        </w:rPr>
        <w:t xml:space="preserve">  </w:t>
      </w:r>
      <w:r>
        <w:rPr>
          <w:rFonts w:ascii="Times-Roman" w:hAnsi="Times-Roman" w:cs="Times-Roman"/>
          <w:sz w:val="22"/>
          <w:szCs w:val="22"/>
        </w:rPr>
        <w:t>Nevertheless, we</w:t>
      </w:r>
    </w:p>
    <w:p w14:paraId="66715EED" w14:textId="77777777" w:rsidR="00B16B2F" w:rsidRDefault="00B16B2F" w:rsidP="009B5697">
      <w:pPr>
        <w:autoSpaceDE w:val="0"/>
        <w:autoSpaceDN w:val="0"/>
        <w:adjustRightInd w:val="0"/>
        <w:jc w:val="both"/>
        <w:rPr>
          <w:rFonts w:ascii="Times-Roman" w:hAnsi="Times-Roman" w:cs="Times-Roman"/>
          <w:sz w:val="20"/>
          <w:szCs w:val="20"/>
        </w:rPr>
      </w:pPr>
    </w:p>
    <w:p w14:paraId="66715EEE" w14:textId="77777777" w:rsidR="00B16B2F" w:rsidRPr="00AF4676" w:rsidRDefault="00B16B2F" w:rsidP="009B5697">
      <w:pPr>
        <w:autoSpaceDE w:val="0"/>
        <w:autoSpaceDN w:val="0"/>
        <w:adjustRightInd w:val="0"/>
        <w:ind w:firstLine="720"/>
        <w:jc w:val="both"/>
        <w:rPr>
          <w:rFonts w:ascii="Times-Roman" w:hAnsi="Times-Roman" w:cs="Times-Roman"/>
          <w:sz w:val="22"/>
        </w:rPr>
      </w:pPr>
      <w:proofErr w:type="gramStart"/>
      <w:r w:rsidRPr="00AF4676">
        <w:rPr>
          <w:rFonts w:ascii="Times-Roman" w:hAnsi="Times-Roman" w:cs="Times-Roman"/>
          <w:sz w:val="22"/>
        </w:rPr>
        <w:t>engage</w:t>
      </w:r>
      <w:proofErr w:type="gramEnd"/>
      <w:r w:rsidRPr="00AF4676">
        <w:rPr>
          <w:rFonts w:ascii="Times-Roman" w:hAnsi="Times-Roman" w:cs="Times-Roman"/>
          <w:sz w:val="22"/>
        </w:rPr>
        <w:t xml:space="preserve"> in learning as who we are, with whatever our particularities; and then,</w:t>
      </w:r>
    </w:p>
    <w:p w14:paraId="66715EEF" w14:textId="77777777" w:rsidR="00B16B2F" w:rsidRPr="00AF4676" w:rsidRDefault="00B16B2F" w:rsidP="009B5697">
      <w:pPr>
        <w:autoSpaceDE w:val="0"/>
        <w:autoSpaceDN w:val="0"/>
        <w:adjustRightInd w:val="0"/>
        <w:ind w:firstLine="720"/>
        <w:jc w:val="both"/>
        <w:rPr>
          <w:rFonts w:ascii="Times-Roman" w:hAnsi="Times-Roman" w:cs="Times-Roman"/>
          <w:sz w:val="22"/>
        </w:rPr>
      </w:pPr>
      <w:proofErr w:type="gramStart"/>
      <w:r w:rsidRPr="00AF4676">
        <w:rPr>
          <w:rFonts w:ascii="Times-Roman" w:hAnsi="Times-Roman" w:cs="Times-Roman"/>
          <w:sz w:val="22"/>
        </w:rPr>
        <w:t>as</w:t>
      </w:r>
      <w:proofErr w:type="gramEnd"/>
      <w:r w:rsidRPr="00AF4676">
        <w:rPr>
          <w:rFonts w:ascii="Times-Roman" w:hAnsi="Times-Roman" w:cs="Times-Roman"/>
          <w:sz w:val="22"/>
        </w:rPr>
        <w:t xml:space="preserve"> part of that engagement, we engage each other in dialogue, each trying to</w:t>
      </w:r>
    </w:p>
    <w:p w14:paraId="66715EF0" w14:textId="77777777" w:rsidR="00B16B2F" w:rsidRPr="00AF4676" w:rsidRDefault="00B16B2F" w:rsidP="009B5697">
      <w:pPr>
        <w:autoSpaceDE w:val="0"/>
        <w:autoSpaceDN w:val="0"/>
        <w:adjustRightInd w:val="0"/>
        <w:ind w:firstLine="720"/>
        <w:jc w:val="both"/>
        <w:rPr>
          <w:rFonts w:ascii="Times-Roman" w:hAnsi="Times-Roman" w:cs="Times-Roman"/>
          <w:sz w:val="22"/>
        </w:rPr>
      </w:pPr>
      <w:proofErr w:type="gramStart"/>
      <w:r w:rsidRPr="00AF4676">
        <w:rPr>
          <w:rFonts w:ascii="Times-Roman" w:hAnsi="Times-Roman" w:cs="Times-Roman"/>
          <w:sz w:val="22"/>
        </w:rPr>
        <w:t>show</w:t>
      </w:r>
      <w:proofErr w:type="gramEnd"/>
      <w:r w:rsidRPr="00AF4676">
        <w:rPr>
          <w:rFonts w:ascii="Times-Roman" w:hAnsi="Times-Roman" w:cs="Times-Roman"/>
          <w:sz w:val="22"/>
        </w:rPr>
        <w:t xml:space="preserve"> the other where he or she has gone wrong and listening to the other as</w:t>
      </w:r>
    </w:p>
    <w:p w14:paraId="66715EF1" w14:textId="77777777" w:rsidR="00B16B2F" w:rsidRPr="00AF4676" w:rsidRDefault="00B16B2F" w:rsidP="009B5697">
      <w:pPr>
        <w:autoSpaceDE w:val="0"/>
        <w:autoSpaceDN w:val="0"/>
        <w:adjustRightInd w:val="0"/>
        <w:ind w:firstLine="720"/>
        <w:jc w:val="both"/>
        <w:rPr>
          <w:rFonts w:ascii="Times-Roman" w:hAnsi="Times-Roman" w:cs="Times-Roman"/>
          <w:sz w:val="22"/>
        </w:rPr>
      </w:pPr>
      <w:proofErr w:type="gramStart"/>
      <w:r w:rsidRPr="00AF4676">
        <w:rPr>
          <w:rFonts w:ascii="Times-Roman" w:hAnsi="Times-Roman" w:cs="Times-Roman"/>
          <w:sz w:val="22"/>
        </w:rPr>
        <w:t>he</w:t>
      </w:r>
      <w:proofErr w:type="gramEnd"/>
      <w:r w:rsidRPr="00AF4676">
        <w:rPr>
          <w:rFonts w:ascii="Times-Roman" w:hAnsi="Times-Roman" w:cs="Times-Roman"/>
          <w:sz w:val="22"/>
        </w:rPr>
        <w:t xml:space="preserve"> or she tries to show where we have gone wrong. Engaged pluralism, one</w:t>
      </w:r>
    </w:p>
    <w:p w14:paraId="66715EF2" w14:textId="77777777" w:rsidR="00B16B2F" w:rsidRPr="00AF4676" w:rsidRDefault="00B16B2F" w:rsidP="009B5697">
      <w:pPr>
        <w:autoSpaceDE w:val="0"/>
        <w:autoSpaceDN w:val="0"/>
        <w:adjustRightInd w:val="0"/>
        <w:ind w:firstLine="720"/>
        <w:jc w:val="both"/>
        <w:rPr>
          <w:rFonts w:ascii="Times-Roman" w:hAnsi="Times-Roman" w:cs="Times-Roman"/>
          <w:sz w:val="22"/>
        </w:rPr>
      </w:pPr>
      <w:proofErr w:type="gramStart"/>
      <w:r w:rsidRPr="00AF4676">
        <w:rPr>
          <w:rFonts w:ascii="Times-Roman" w:hAnsi="Times-Roman" w:cs="Times-Roman"/>
          <w:sz w:val="22"/>
        </w:rPr>
        <w:t>might</w:t>
      </w:r>
      <w:proofErr w:type="gramEnd"/>
      <w:r w:rsidRPr="00AF4676">
        <w:rPr>
          <w:rFonts w:ascii="Times-Roman" w:hAnsi="Times-Roman" w:cs="Times-Roman"/>
          <w:sz w:val="22"/>
        </w:rPr>
        <w:t xml:space="preserve"> call it</w:t>
      </w:r>
      <w:r w:rsidR="0052387D" w:rsidRPr="00AF4676">
        <w:rPr>
          <w:rFonts w:ascii="Times-Roman" w:hAnsi="Times-Roman" w:cs="Times-Roman"/>
          <w:sz w:val="22"/>
        </w:rPr>
        <w:t xml:space="preserve"> (Ibid., 305).</w:t>
      </w:r>
    </w:p>
    <w:p w14:paraId="66715EF3" w14:textId="77777777" w:rsidR="004E5727" w:rsidRDefault="004E5727" w:rsidP="009B5697">
      <w:pPr>
        <w:autoSpaceDE w:val="0"/>
        <w:autoSpaceDN w:val="0"/>
        <w:adjustRightInd w:val="0"/>
        <w:jc w:val="both"/>
        <w:rPr>
          <w:rFonts w:ascii="Times-Roman" w:hAnsi="Times-Roman" w:cs="Times-Roman"/>
          <w:sz w:val="22"/>
          <w:szCs w:val="22"/>
        </w:rPr>
      </w:pPr>
    </w:p>
    <w:p w14:paraId="66715EF4" w14:textId="77777777" w:rsidR="00680C7B" w:rsidRDefault="006C0333" w:rsidP="009F4E6A">
      <w:pPr>
        <w:autoSpaceDE w:val="0"/>
        <w:autoSpaceDN w:val="0"/>
        <w:adjustRightInd w:val="0"/>
        <w:jc w:val="both"/>
        <w:rPr>
          <w:rFonts w:ascii="Times-Roman" w:hAnsi="Times-Roman" w:cs="Times-Roman"/>
          <w:sz w:val="22"/>
          <w:szCs w:val="22"/>
        </w:rPr>
      </w:pPr>
      <w:proofErr w:type="spellStart"/>
      <w:r>
        <w:rPr>
          <w:rFonts w:ascii="Times-Roman" w:hAnsi="Times-Roman" w:cs="Times-Roman"/>
          <w:sz w:val="22"/>
          <w:szCs w:val="22"/>
        </w:rPr>
        <w:t>Dooyeweerd</w:t>
      </w:r>
      <w:proofErr w:type="spellEnd"/>
      <w:r>
        <w:rPr>
          <w:rFonts w:ascii="Times-Roman" w:hAnsi="Times-Roman" w:cs="Times-Roman"/>
          <w:sz w:val="22"/>
          <w:szCs w:val="22"/>
        </w:rPr>
        <w:t>, in his analysis of law and politics</w:t>
      </w:r>
      <w:r w:rsidR="00B16B2F">
        <w:rPr>
          <w:rFonts w:ascii="Times-Roman" w:hAnsi="Times-Roman" w:cs="Times-Roman"/>
          <w:sz w:val="22"/>
          <w:szCs w:val="22"/>
        </w:rPr>
        <w:t>, is engaged in a</w:t>
      </w:r>
      <w:r w:rsidR="00680C7B">
        <w:rPr>
          <w:rFonts w:ascii="Times-Roman" w:hAnsi="Times-Roman" w:cs="Times-Roman"/>
          <w:sz w:val="22"/>
          <w:szCs w:val="22"/>
        </w:rPr>
        <w:t xml:space="preserve"> </w:t>
      </w:r>
      <w:r w:rsidR="00B16B2F">
        <w:rPr>
          <w:rFonts w:ascii="Times-Roman" w:hAnsi="Times-Roman" w:cs="Times-Roman"/>
          <w:sz w:val="22"/>
          <w:szCs w:val="22"/>
        </w:rPr>
        <w:t xml:space="preserve">pluralistic task—he is writing as </w:t>
      </w:r>
    </w:p>
    <w:p w14:paraId="66715EF5" w14:textId="77777777" w:rsidR="00680C7B" w:rsidRDefault="00B16B2F" w:rsidP="009F4E6A">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a</w:t>
      </w:r>
      <w:proofErr w:type="gramEnd"/>
      <w:r>
        <w:rPr>
          <w:rFonts w:ascii="Times-Roman" w:hAnsi="Times-Roman" w:cs="Times-Roman"/>
          <w:sz w:val="22"/>
          <w:szCs w:val="22"/>
        </w:rPr>
        <w:t xml:space="preserve"> Christian, but he is not doing theology or</w:t>
      </w:r>
      <w:r w:rsidR="00680C7B">
        <w:rPr>
          <w:rFonts w:ascii="Times-Roman" w:hAnsi="Times-Roman" w:cs="Times-Roman"/>
          <w:sz w:val="22"/>
          <w:szCs w:val="22"/>
        </w:rPr>
        <w:t xml:space="preserve"> </w:t>
      </w:r>
      <w:r>
        <w:rPr>
          <w:rFonts w:ascii="Times-Roman" w:hAnsi="Times-Roman" w:cs="Times-Roman"/>
          <w:sz w:val="22"/>
          <w:szCs w:val="22"/>
        </w:rPr>
        <w:t>biblical exe</w:t>
      </w:r>
      <w:r w:rsidR="009F4E6A">
        <w:rPr>
          <w:rFonts w:ascii="Times-Roman" w:hAnsi="Times-Roman" w:cs="Times-Roman"/>
          <w:sz w:val="22"/>
          <w:szCs w:val="22"/>
        </w:rPr>
        <w:t xml:space="preserve">gesis. Rather, he is engaged in </w:t>
      </w:r>
      <w:r>
        <w:rPr>
          <w:rFonts w:ascii="Times-Roman" w:hAnsi="Times-Roman" w:cs="Times-Roman"/>
          <w:sz w:val="22"/>
          <w:szCs w:val="22"/>
        </w:rPr>
        <w:t>conventional, or “mainstream,”</w:t>
      </w:r>
      <w:r w:rsidR="00680C7B">
        <w:rPr>
          <w:rFonts w:ascii="Times-Roman" w:hAnsi="Times-Roman" w:cs="Times-Roman"/>
          <w:sz w:val="22"/>
          <w:szCs w:val="22"/>
        </w:rPr>
        <w:t xml:space="preserve"> </w:t>
      </w:r>
      <w:r w:rsidR="00C469B9">
        <w:rPr>
          <w:rFonts w:ascii="Times-Roman" w:hAnsi="Times-Roman" w:cs="Times-Roman"/>
          <w:sz w:val="22"/>
          <w:szCs w:val="22"/>
        </w:rPr>
        <w:t>political</w:t>
      </w:r>
      <w:r>
        <w:rPr>
          <w:rFonts w:ascii="Times-Roman" w:hAnsi="Times-Roman" w:cs="Times-Roman"/>
          <w:sz w:val="22"/>
          <w:szCs w:val="22"/>
        </w:rPr>
        <w:t xml:space="preserve"> and legal argumentation. Because of his neo-Calvinist </w:t>
      </w:r>
    </w:p>
    <w:p w14:paraId="66715EF6" w14:textId="77777777" w:rsidR="00680C7B" w:rsidRDefault="00B16B2F" w:rsidP="009F4E6A">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orientation</w:t>
      </w:r>
      <w:proofErr w:type="gramEnd"/>
      <w:r>
        <w:rPr>
          <w:rFonts w:ascii="Times-Roman" w:hAnsi="Times-Roman" w:cs="Times-Roman"/>
          <w:sz w:val="22"/>
          <w:szCs w:val="22"/>
        </w:rPr>
        <w:t>,</w:t>
      </w:r>
      <w:r w:rsidR="00680C7B">
        <w:rPr>
          <w:rFonts w:ascii="Times-Roman" w:hAnsi="Times-Roman" w:cs="Times-Roman"/>
          <w:sz w:val="22"/>
          <w:szCs w:val="22"/>
        </w:rPr>
        <w:t xml:space="preserve"> </w:t>
      </w:r>
      <w:r w:rsidR="00C469B9">
        <w:rPr>
          <w:rFonts w:ascii="Times-Roman" w:hAnsi="Times-Roman" w:cs="Times-Roman"/>
          <w:sz w:val="22"/>
          <w:szCs w:val="22"/>
        </w:rPr>
        <w:t>he</w:t>
      </w:r>
      <w:r>
        <w:rPr>
          <w:rFonts w:ascii="Times-Roman" w:hAnsi="Times-Roman" w:cs="Times-Roman"/>
          <w:sz w:val="22"/>
          <w:szCs w:val="22"/>
        </w:rPr>
        <w:t xml:space="preserve"> does not see things exactly as everyone else does, but no</w:t>
      </w:r>
      <w:r w:rsidR="00680C7B">
        <w:rPr>
          <w:rFonts w:ascii="Times-Roman" w:hAnsi="Times-Roman" w:cs="Times-Roman"/>
          <w:sz w:val="22"/>
          <w:szCs w:val="22"/>
        </w:rPr>
        <w:t xml:space="preserve"> </w:t>
      </w:r>
      <w:r>
        <w:rPr>
          <w:rFonts w:ascii="Times-Roman" w:hAnsi="Times-Roman" w:cs="Times-Roman"/>
          <w:sz w:val="22"/>
          <w:szCs w:val="22"/>
        </w:rPr>
        <w:t xml:space="preserve">theorist sees things “as </w:t>
      </w:r>
    </w:p>
    <w:p w14:paraId="66715EF7" w14:textId="77777777" w:rsidR="00680C7B" w:rsidRDefault="00B16B2F" w:rsidP="009F4E6A">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they</w:t>
      </w:r>
      <w:proofErr w:type="gramEnd"/>
      <w:r>
        <w:rPr>
          <w:rFonts w:ascii="Times-Roman" w:hAnsi="Times-Roman" w:cs="Times-Roman"/>
          <w:sz w:val="22"/>
          <w:szCs w:val="22"/>
        </w:rPr>
        <w:t xml:space="preserve"> are”—everyone has a perspective. In </w:t>
      </w:r>
      <w:proofErr w:type="spellStart"/>
      <w:r>
        <w:rPr>
          <w:rFonts w:ascii="Times-Roman" w:hAnsi="Times-Roman" w:cs="Times-Roman"/>
          <w:sz w:val="22"/>
          <w:szCs w:val="22"/>
        </w:rPr>
        <w:t>Kuyperian</w:t>
      </w:r>
      <w:proofErr w:type="spellEnd"/>
      <w:r w:rsidR="00680C7B">
        <w:rPr>
          <w:rFonts w:ascii="Times-Roman" w:hAnsi="Times-Roman" w:cs="Times-Roman"/>
          <w:sz w:val="22"/>
          <w:szCs w:val="22"/>
        </w:rPr>
        <w:t xml:space="preserve"> </w:t>
      </w:r>
      <w:r>
        <w:rPr>
          <w:rFonts w:ascii="Times-Roman" w:hAnsi="Times-Roman" w:cs="Times-Roman"/>
          <w:sz w:val="22"/>
          <w:szCs w:val="22"/>
        </w:rPr>
        <w:t xml:space="preserve">terms, as explained by </w:t>
      </w:r>
      <w:proofErr w:type="spellStart"/>
      <w:r>
        <w:rPr>
          <w:rFonts w:ascii="Times-Roman" w:hAnsi="Times-Roman" w:cs="Times-Roman"/>
          <w:sz w:val="22"/>
          <w:szCs w:val="22"/>
        </w:rPr>
        <w:t>Wolterstorff</w:t>
      </w:r>
      <w:proofErr w:type="spellEnd"/>
      <w:r>
        <w:rPr>
          <w:rFonts w:ascii="Times-Roman" w:hAnsi="Times-Roman" w:cs="Times-Roman"/>
          <w:sz w:val="22"/>
          <w:szCs w:val="22"/>
        </w:rPr>
        <w:t xml:space="preserve">, “De </w:t>
      </w:r>
    </w:p>
    <w:p w14:paraId="66715EF8" w14:textId="77777777" w:rsidR="00680C7B" w:rsidRDefault="00B16B2F" w:rsidP="009F4E6A">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f</w:t>
      </w:r>
      <w:r w:rsidR="009B5697">
        <w:rPr>
          <w:rFonts w:ascii="Times-Roman" w:hAnsi="Times-Roman" w:cs="Times-Roman"/>
          <w:sz w:val="22"/>
          <w:szCs w:val="22"/>
        </w:rPr>
        <w:t>a</w:t>
      </w:r>
      <w:r>
        <w:rPr>
          <w:rFonts w:ascii="Times-Roman" w:hAnsi="Times-Roman" w:cs="Times-Roman"/>
          <w:sz w:val="22"/>
          <w:szCs w:val="22"/>
        </w:rPr>
        <w:t>cto</w:t>
      </w:r>
      <w:proofErr w:type="gramEnd"/>
      <w:r>
        <w:rPr>
          <w:rFonts w:ascii="Times-Roman" w:hAnsi="Times-Roman" w:cs="Times-Roman"/>
          <w:sz w:val="22"/>
          <w:szCs w:val="22"/>
        </w:rPr>
        <w:t xml:space="preserve"> what we find in theoretical</w:t>
      </w:r>
      <w:r w:rsidR="00680C7B">
        <w:rPr>
          <w:rFonts w:ascii="Times-Roman" w:hAnsi="Times-Roman" w:cs="Times-Roman"/>
          <w:sz w:val="22"/>
          <w:szCs w:val="22"/>
        </w:rPr>
        <w:t xml:space="preserve"> </w:t>
      </w:r>
      <w:r>
        <w:rPr>
          <w:rFonts w:ascii="Times-Roman" w:hAnsi="Times-Roman" w:cs="Times-Roman"/>
          <w:sz w:val="22"/>
          <w:szCs w:val="22"/>
        </w:rPr>
        <w:t xml:space="preserve">learning is a plurality of particularistic perspectives; but we are </w:t>
      </w:r>
    </w:p>
    <w:p w14:paraId="66715EF9" w14:textId="77777777" w:rsidR="00B16B2F" w:rsidRPr="00680C7B" w:rsidRDefault="00B16B2F" w:rsidP="009F4E6A">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not</w:t>
      </w:r>
      <w:proofErr w:type="gramEnd"/>
      <w:r>
        <w:rPr>
          <w:rFonts w:ascii="Times-Roman" w:hAnsi="Times-Roman" w:cs="Times-Roman"/>
          <w:sz w:val="22"/>
          <w:szCs w:val="22"/>
        </w:rPr>
        <w:t xml:space="preserve"> to rest</w:t>
      </w:r>
      <w:r w:rsidR="00680C7B">
        <w:rPr>
          <w:rFonts w:ascii="Times-Roman" w:hAnsi="Times-Roman" w:cs="Times-Roman"/>
          <w:sz w:val="22"/>
          <w:szCs w:val="22"/>
        </w:rPr>
        <w:t xml:space="preserve"> </w:t>
      </w:r>
      <w:r>
        <w:rPr>
          <w:rFonts w:ascii="Times-Roman" w:hAnsi="Times-Roman" w:cs="Times-Roman"/>
          <w:sz w:val="22"/>
          <w:szCs w:val="22"/>
        </w:rPr>
        <w:t>content with this fractured actuality. . . . Bodies of learning shaped by different</w:t>
      </w:r>
      <w:r w:rsidR="009F4E6A">
        <w:rPr>
          <w:rFonts w:ascii="Times-Roman" w:hAnsi="Times-Roman" w:cs="Times-Roman"/>
          <w:sz w:val="22"/>
          <w:szCs w:val="22"/>
        </w:rPr>
        <w:t xml:space="preserve"> </w:t>
      </w:r>
      <w:r>
        <w:rPr>
          <w:rFonts w:ascii="Times-Roman" w:hAnsi="Times-Roman" w:cs="Times-Roman"/>
          <w:sz w:val="22"/>
          <w:szCs w:val="22"/>
        </w:rPr>
        <w:t>worldviews are not incommensurabl</w:t>
      </w:r>
      <w:r w:rsidR="0052387D">
        <w:rPr>
          <w:rFonts w:ascii="Times-Roman" w:hAnsi="Times-Roman" w:cs="Times-Roman"/>
          <w:sz w:val="22"/>
          <w:szCs w:val="22"/>
        </w:rPr>
        <w:t>e on account of being so shaped</w:t>
      </w:r>
      <w:r>
        <w:rPr>
          <w:rFonts w:ascii="Times-Roman" w:hAnsi="Times-Roman" w:cs="Times-Roman"/>
          <w:sz w:val="22"/>
          <w:szCs w:val="22"/>
        </w:rPr>
        <w:t>”</w:t>
      </w:r>
      <w:r w:rsidR="0052387D">
        <w:rPr>
          <w:rFonts w:ascii="Times-Roman" w:hAnsi="Times-Roman" w:cs="Times-Roman"/>
          <w:sz w:val="22"/>
          <w:szCs w:val="22"/>
        </w:rPr>
        <w:t xml:space="preserve"> (</w:t>
      </w:r>
      <w:proofErr w:type="gramStart"/>
      <w:r w:rsidR="0052387D">
        <w:rPr>
          <w:rFonts w:ascii="Times-Roman" w:hAnsi="Times-Roman" w:cs="Times-Roman"/>
          <w:sz w:val="22"/>
          <w:szCs w:val="22"/>
        </w:rPr>
        <w:t>Ibid.,</w:t>
      </w:r>
      <w:proofErr w:type="gramEnd"/>
      <w:r w:rsidR="0052387D">
        <w:rPr>
          <w:rFonts w:ascii="Times-Roman" w:hAnsi="Times-Roman" w:cs="Times-Roman"/>
          <w:sz w:val="22"/>
          <w:szCs w:val="22"/>
        </w:rPr>
        <w:t xml:space="preserve"> 304-05).</w:t>
      </w:r>
    </w:p>
    <w:p w14:paraId="66715EFA" w14:textId="77777777" w:rsidR="0052387D" w:rsidRDefault="0052387D" w:rsidP="009F4E6A">
      <w:pPr>
        <w:autoSpaceDE w:val="0"/>
        <w:autoSpaceDN w:val="0"/>
        <w:adjustRightInd w:val="0"/>
        <w:rPr>
          <w:rFonts w:ascii="Times-Roman" w:hAnsi="Times-Roman" w:cs="Times-Roman"/>
          <w:sz w:val="22"/>
          <w:szCs w:val="22"/>
        </w:rPr>
      </w:pPr>
    </w:p>
    <w:p w14:paraId="66715EFB" w14:textId="77777777" w:rsidR="00B16B2F" w:rsidRDefault="00B16B2F" w:rsidP="009F4E6A">
      <w:pPr>
        <w:autoSpaceDE w:val="0"/>
        <w:autoSpaceDN w:val="0"/>
        <w:adjustRightInd w:val="0"/>
        <w:jc w:val="both"/>
        <w:rPr>
          <w:rFonts w:ascii="Times-Roman" w:hAnsi="Times-Roman" w:cs="Times-Roman"/>
          <w:sz w:val="22"/>
          <w:szCs w:val="22"/>
        </w:rPr>
      </w:pPr>
      <w:r>
        <w:rPr>
          <w:rFonts w:ascii="Times-Roman" w:hAnsi="Times-Roman" w:cs="Times-Roman"/>
          <w:sz w:val="22"/>
          <w:szCs w:val="22"/>
        </w:rPr>
        <w:t xml:space="preserve">Thus </w:t>
      </w:r>
      <w:proofErr w:type="spellStart"/>
      <w:r>
        <w:rPr>
          <w:rFonts w:ascii="Times-Roman" w:hAnsi="Times-Roman" w:cs="Times-Roman"/>
          <w:sz w:val="22"/>
          <w:szCs w:val="22"/>
        </w:rPr>
        <w:t>Dooyeweerd</w:t>
      </w:r>
      <w:proofErr w:type="spellEnd"/>
      <w:r>
        <w:rPr>
          <w:rFonts w:ascii="Times-Roman" w:hAnsi="Times-Roman" w:cs="Times-Roman"/>
          <w:sz w:val="22"/>
          <w:szCs w:val="22"/>
        </w:rPr>
        <w:t xml:space="preserve"> is first and foremost a theorist, not a “Christian” theorist if</w:t>
      </w:r>
      <w:r w:rsidR="009F4E6A">
        <w:rPr>
          <w:rFonts w:ascii="Times-Roman" w:hAnsi="Times-Roman" w:cs="Times-Roman"/>
          <w:sz w:val="22"/>
          <w:szCs w:val="22"/>
        </w:rPr>
        <w:t xml:space="preserve"> </w:t>
      </w:r>
      <w:r>
        <w:rPr>
          <w:rFonts w:ascii="Times-Roman" w:hAnsi="Times-Roman" w:cs="Times-Roman"/>
          <w:sz w:val="22"/>
          <w:szCs w:val="22"/>
        </w:rPr>
        <w:t>that adjective is meant to suggest a unique bias among other theorists who have</w:t>
      </w:r>
      <w:r w:rsidR="009F4E6A">
        <w:rPr>
          <w:rFonts w:ascii="Times-Roman" w:hAnsi="Times-Roman" w:cs="Times-Roman"/>
          <w:sz w:val="22"/>
          <w:szCs w:val="22"/>
        </w:rPr>
        <w:t xml:space="preserve"> </w:t>
      </w:r>
      <w:r>
        <w:rPr>
          <w:rFonts w:ascii="Times-Roman" w:hAnsi="Times-Roman" w:cs="Times-Roman"/>
          <w:sz w:val="22"/>
          <w:szCs w:val="22"/>
        </w:rPr>
        <w:t>no pre-theoretical commitments.</w:t>
      </w:r>
    </w:p>
    <w:p w14:paraId="66715EFC" w14:textId="77777777" w:rsidR="004E5727" w:rsidRDefault="004E5727" w:rsidP="009F4E6A">
      <w:pPr>
        <w:autoSpaceDE w:val="0"/>
        <w:autoSpaceDN w:val="0"/>
        <w:adjustRightInd w:val="0"/>
        <w:rPr>
          <w:rFonts w:ascii="Times-Roman" w:hAnsi="Times-Roman" w:cs="Times-Roman"/>
          <w:sz w:val="22"/>
          <w:szCs w:val="22"/>
        </w:rPr>
      </w:pPr>
    </w:p>
    <w:p w14:paraId="66715EFD" w14:textId="77777777" w:rsidR="00B16B2F" w:rsidRPr="00C60A5E" w:rsidRDefault="00B16B2F" w:rsidP="009F4E6A">
      <w:pPr>
        <w:autoSpaceDE w:val="0"/>
        <w:autoSpaceDN w:val="0"/>
        <w:adjustRightInd w:val="0"/>
        <w:ind w:firstLine="720"/>
        <w:jc w:val="both"/>
        <w:rPr>
          <w:rFonts w:ascii="Times-Roman" w:hAnsi="Times-Roman" w:cs="Times-Roman"/>
          <w:sz w:val="22"/>
          <w:szCs w:val="22"/>
        </w:rPr>
      </w:pPr>
      <w:r>
        <w:rPr>
          <w:rFonts w:ascii="Times-Roman" w:hAnsi="Times-Roman" w:cs="Times-Roman"/>
          <w:sz w:val="22"/>
          <w:szCs w:val="22"/>
        </w:rPr>
        <w:t xml:space="preserve">For </w:t>
      </w:r>
      <w:proofErr w:type="spellStart"/>
      <w:r>
        <w:rPr>
          <w:rFonts w:ascii="Times-Roman" w:hAnsi="Times-Roman" w:cs="Times-Roman"/>
          <w:sz w:val="22"/>
          <w:szCs w:val="22"/>
        </w:rPr>
        <w:t>Kuyper</w:t>
      </w:r>
      <w:proofErr w:type="spellEnd"/>
      <w:r>
        <w:rPr>
          <w:rFonts w:ascii="Times-Roman" w:hAnsi="Times-Roman" w:cs="Times-Roman"/>
          <w:sz w:val="22"/>
          <w:szCs w:val="22"/>
        </w:rPr>
        <w:t>, moreover, the “goal of Christian social and cultural action is not</w:t>
      </w:r>
      <w:r w:rsidR="009F4E6A">
        <w:rPr>
          <w:rFonts w:ascii="Times-Roman" w:hAnsi="Times-Roman" w:cs="Times-Roman"/>
          <w:sz w:val="22"/>
          <w:szCs w:val="22"/>
        </w:rPr>
        <w:t xml:space="preserve"> to </w:t>
      </w:r>
      <w:proofErr w:type="spellStart"/>
      <w:r>
        <w:rPr>
          <w:rFonts w:ascii="Times-Roman" w:hAnsi="Times-Roman" w:cs="Times-Roman"/>
          <w:sz w:val="22"/>
          <w:szCs w:val="22"/>
        </w:rPr>
        <w:t>confessionalize</w:t>
      </w:r>
      <w:proofErr w:type="spellEnd"/>
      <w:r>
        <w:rPr>
          <w:rFonts w:ascii="Times-Roman" w:hAnsi="Times-Roman" w:cs="Times-Roman"/>
          <w:sz w:val="22"/>
          <w:szCs w:val="22"/>
        </w:rPr>
        <w:t xml:space="preserve"> society” by establishing a state church or an official religion—</w:t>
      </w:r>
      <w:r w:rsidR="009F4E6A">
        <w:rPr>
          <w:rFonts w:ascii="Times-Roman" w:hAnsi="Times-Roman" w:cs="Times-Roman"/>
          <w:sz w:val="22"/>
          <w:szCs w:val="22"/>
        </w:rPr>
        <w:t xml:space="preserve"> </w:t>
      </w:r>
      <w:r>
        <w:rPr>
          <w:rFonts w:ascii="Times-Roman" w:hAnsi="Times-Roman" w:cs="Times-Roman"/>
          <w:sz w:val="22"/>
          <w:szCs w:val="22"/>
        </w:rPr>
        <w:t xml:space="preserve">he wanted “a strong confessional church but </w:t>
      </w:r>
      <w:r>
        <w:rPr>
          <w:rFonts w:ascii="Times-Italic" w:hAnsi="Times-Italic" w:cs="Times-Italic"/>
          <w:i/>
          <w:iCs/>
          <w:sz w:val="22"/>
          <w:szCs w:val="22"/>
        </w:rPr>
        <w:t xml:space="preserve">not </w:t>
      </w:r>
      <w:r>
        <w:rPr>
          <w:rFonts w:ascii="Times-Roman" w:hAnsi="Times-Roman" w:cs="Times-Roman"/>
          <w:sz w:val="22"/>
          <w:szCs w:val="22"/>
        </w:rPr>
        <w:t>a confessional civil</w:t>
      </w:r>
      <w:r w:rsidR="00C60A5E">
        <w:rPr>
          <w:rFonts w:ascii="Times-Roman" w:hAnsi="Times-Roman" w:cs="Times-Roman"/>
          <w:sz w:val="22"/>
          <w:szCs w:val="22"/>
        </w:rPr>
        <w:t xml:space="preserve"> </w:t>
      </w:r>
      <w:r>
        <w:rPr>
          <w:rFonts w:ascii="Times-Roman" w:hAnsi="Times-Roman" w:cs="Times-Roman"/>
          <w:sz w:val="22"/>
          <w:szCs w:val="22"/>
        </w:rPr>
        <w:t xml:space="preserve">society [and </w:t>
      </w:r>
      <w:r>
        <w:rPr>
          <w:rFonts w:ascii="Times-Italic" w:hAnsi="Times-Italic" w:cs="Times-Italic"/>
          <w:i/>
          <w:iCs/>
          <w:sz w:val="22"/>
          <w:szCs w:val="22"/>
        </w:rPr>
        <w:t>not</w:t>
      </w:r>
      <w:r>
        <w:rPr>
          <w:rFonts w:ascii="Times-Roman" w:hAnsi="Times-Roman" w:cs="Times-Roman"/>
          <w:sz w:val="22"/>
          <w:szCs w:val="22"/>
        </w:rPr>
        <w:t>] a confessional state. . . . [The] secularization of state and</w:t>
      </w:r>
      <w:r w:rsidR="00C60A5E">
        <w:rPr>
          <w:rFonts w:ascii="Times-Roman" w:hAnsi="Times-Roman" w:cs="Times-Roman"/>
          <w:sz w:val="22"/>
          <w:szCs w:val="22"/>
        </w:rPr>
        <w:t xml:space="preserve"> </w:t>
      </w:r>
      <w:r>
        <w:rPr>
          <w:rFonts w:ascii="Times-Roman" w:hAnsi="Times-Roman" w:cs="Times-Roman"/>
          <w:sz w:val="22"/>
          <w:szCs w:val="22"/>
        </w:rPr>
        <w:t>society is one of th</w:t>
      </w:r>
      <w:r w:rsidR="0052387D">
        <w:rPr>
          <w:rFonts w:ascii="Times-Roman" w:hAnsi="Times-Roman" w:cs="Times-Roman"/>
          <w:sz w:val="22"/>
          <w:szCs w:val="22"/>
        </w:rPr>
        <w:t>e most basic ideas of Calvinism</w:t>
      </w:r>
      <w:r>
        <w:rPr>
          <w:rFonts w:ascii="Times-Roman" w:hAnsi="Times-Roman" w:cs="Times-Roman"/>
          <w:sz w:val="22"/>
          <w:szCs w:val="22"/>
        </w:rPr>
        <w:t>”</w:t>
      </w:r>
      <w:r w:rsidR="004E5727">
        <w:rPr>
          <w:rFonts w:ascii="Times-Roman" w:hAnsi="Times-Roman" w:cs="Times-Roman"/>
          <w:sz w:val="22"/>
          <w:szCs w:val="22"/>
        </w:rPr>
        <w:t xml:space="preserve"> (</w:t>
      </w:r>
      <w:proofErr w:type="gramStart"/>
      <w:r w:rsidR="004E5727">
        <w:rPr>
          <w:rFonts w:ascii="Times-Roman" w:hAnsi="Times-Roman" w:cs="Times-Roman"/>
          <w:sz w:val="22"/>
          <w:szCs w:val="22"/>
        </w:rPr>
        <w:t>Ibid.,</w:t>
      </w:r>
      <w:proofErr w:type="gramEnd"/>
      <w:r w:rsidR="004E5727">
        <w:rPr>
          <w:rFonts w:ascii="Times-Roman" w:hAnsi="Times-Roman" w:cs="Times-Roman"/>
          <w:sz w:val="22"/>
          <w:szCs w:val="22"/>
        </w:rPr>
        <w:t xml:space="preserve"> 312</w:t>
      </w:r>
      <w:r w:rsidR="0052387D">
        <w:rPr>
          <w:rFonts w:ascii="Times-Roman" w:hAnsi="Times-Roman" w:cs="Times-Roman"/>
          <w:sz w:val="22"/>
          <w:szCs w:val="22"/>
        </w:rPr>
        <w:t>)</w:t>
      </w:r>
      <w:r w:rsidR="0052387D">
        <w:rPr>
          <w:rFonts w:ascii="Times-Roman" w:hAnsi="Times-Roman" w:cs="Times-Roman"/>
          <w:sz w:val="13"/>
          <w:szCs w:val="13"/>
        </w:rPr>
        <w:t xml:space="preserve">.  </w:t>
      </w:r>
      <w:r>
        <w:rPr>
          <w:rFonts w:ascii="Times-Roman" w:hAnsi="Times-Roman" w:cs="Times-Roman"/>
          <w:sz w:val="22"/>
          <w:szCs w:val="22"/>
        </w:rPr>
        <w:t xml:space="preserve">Indeed, </w:t>
      </w:r>
      <w:proofErr w:type="spellStart"/>
      <w:r>
        <w:rPr>
          <w:rFonts w:ascii="Times-Roman" w:hAnsi="Times-Roman" w:cs="Times-Roman"/>
          <w:sz w:val="22"/>
          <w:szCs w:val="22"/>
        </w:rPr>
        <w:t>Kuyper</w:t>
      </w:r>
      <w:proofErr w:type="spellEnd"/>
      <w:r>
        <w:rPr>
          <w:rFonts w:ascii="Times-Roman" w:hAnsi="Times-Roman" w:cs="Times-Roman"/>
          <w:sz w:val="22"/>
          <w:szCs w:val="22"/>
        </w:rPr>
        <w:t xml:space="preserve"> was</w:t>
      </w:r>
      <w:r w:rsidR="009D68ED">
        <w:rPr>
          <w:rFonts w:ascii="Times-Roman" w:hAnsi="Times-Roman" w:cs="Times-Roman"/>
          <w:sz w:val="22"/>
          <w:szCs w:val="22"/>
        </w:rPr>
        <w:t xml:space="preserve"> </w:t>
      </w:r>
      <w:r>
        <w:rPr>
          <w:rFonts w:ascii="Times-Roman" w:hAnsi="Times-Roman" w:cs="Times-Roman"/>
          <w:sz w:val="22"/>
          <w:szCs w:val="22"/>
        </w:rPr>
        <w:t>averse to authoritarian churches and governments, by which he would have</w:t>
      </w:r>
      <w:r w:rsidR="00C60A5E">
        <w:rPr>
          <w:rFonts w:ascii="Times-Roman" w:hAnsi="Times-Roman" w:cs="Times-Roman"/>
          <w:sz w:val="22"/>
          <w:szCs w:val="22"/>
        </w:rPr>
        <w:t xml:space="preserve"> </w:t>
      </w:r>
      <w:r>
        <w:rPr>
          <w:rFonts w:ascii="Times-Roman" w:hAnsi="Times-Roman" w:cs="Times-Roman"/>
          <w:sz w:val="22"/>
          <w:szCs w:val="22"/>
        </w:rPr>
        <w:t xml:space="preserve">meant their exercising authority outside their own “spheres” of </w:t>
      </w:r>
      <w:proofErr w:type="gramStart"/>
      <w:r>
        <w:rPr>
          <w:rFonts w:ascii="Times-Roman" w:hAnsi="Times-Roman" w:cs="Times-Roman"/>
          <w:sz w:val="22"/>
          <w:szCs w:val="22"/>
        </w:rPr>
        <w:t>authority</w:t>
      </w:r>
      <w:r w:rsidR="0052387D">
        <w:rPr>
          <w:rFonts w:ascii="Times-Roman" w:hAnsi="Times-Roman" w:cs="Times-Roman"/>
          <w:sz w:val="22"/>
          <w:szCs w:val="22"/>
        </w:rPr>
        <w:t xml:space="preserve"> </w:t>
      </w:r>
      <w:r w:rsidR="009F4E6A">
        <w:rPr>
          <w:rFonts w:ascii="Times-Roman" w:hAnsi="Times-Roman" w:cs="Times-Roman"/>
          <w:sz w:val="22"/>
          <w:szCs w:val="22"/>
        </w:rPr>
        <w:t xml:space="preserve"> </w:t>
      </w:r>
      <w:r w:rsidR="0052387D">
        <w:rPr>
          <w:rFonts w:ascii="Times-Roman" w:hAnsi="Times-Roman" w:cs="Times-Roman"/>
          <w:sz w:val="22"/>
          <w:szCs w:val="22"/>
        </w:rPr>
        <w:t>(</w:t>
      </w:r>
      <w:proofErr w:type="spellStart"/>
      <w:proofErr w:type="gramEnd"/>
      <w:r w:rsidR="0052387D">
        <w:rPr>
          <w:rFonts w:ascii="Times-Roman" w:hAnsi="Times-Roman" w:cs="Times-Roman"/>
          <w:sz w:val="22"/>
          <w:szCs w:val="22"/>
        </w:rPr>
        <w:t>Kuyper</w:t>
      </w:r>
      <w:proofErr w:type="spellEnd"/>
      <w:r w:rsidR="00675742">
        <w:rPr>
          <w:rFonts w:ascii="Times-Roman" w:hAnsi="Times-Roman" w:cs="Times-Roman"/>
          <w:sz w:val="22"/>
          <w:szCs w:val="22"/>
        </w:rPr>
        <w:t>, 1943: 63, 65).</w:t>
      </w:r>
      <w:r>
        <w:rPr>
          <w:rFonts w:ascii="Times-Roman" w:hAnsi="Times-Roman" w:cs="Times-Roman"/>
          <w:sz w:val="13"/>
          <w:szCs w:val="13"/>
        </w:rPr>
        <w:t xml:space="preserve"> </w:t>
      </w:r>
      <w:r w:rsidR="00C60A5E">
        <w:rPr>
          <w:rFonts w:ascii="Times-Roman" w:hAnsi="Times-Roman" w:cs="Times-Roman"/>
          <w:sz w:val="22"/>
          <w:szCs w:val="22"/>
        </w:rPr>
        <w:t xml:space="preserve"> </w:t>
      </w:r>
      <w:r>
        <w:rPr>
          <w:rFonts w:ascii="Times-Roman" w:hAnsi="Times-Roman" w:cs="Times-Roman"/>
          <w:sz w:val="22"/>
          <w:szCs w:val="22"/>
        </w:rPr>
        <w:t>The</w:t>
      </w:r>
      <w:r w:rsidR="00675742">
        <w:rPr>
          <w:rFonts w:ascii="Times-Roman" w:hAnsi="Times-Roman" w:cs="Times-Roman"/>
          <w:sz w:val="22"/>
          <w:szCs w:val="22"/>
        </w:rPr>
        <w:t xml:space="preserve"> </w:t>
      </w:r>
      <w:r>
        <w:rPr>
          <w:rFonts w:ascii="Times-Roman" w:hAnsi="Times-Roman" w:cs="Times-Roman"/>
          <w:sz w:val="22"/>
          <w:szCs w:val="22"/>
        </w:rPr>
        <w:t>government, in particular, is not supreme over the family, business, science, or</w:t>
      </w:r>
      <w:r w:rsidR="00C60A5E">
        <w:rPr>
          <w:rFonts w:ascii="Times-Roman" w:hAnsi="Times-Roman" w:cs="Times-Roman"/>
          <w:sz w:val="22"/>
          <w:szCs w:val="22"/>
        </w:rPr>
        <w:t xml:space="preserve"> </w:t>
      </w:r>
      <w:r>
        <w:rPr>
          <w:rFonts w:ascii="Times-Roman" w:hAnsi="Times-Roman" w:cs="Times-Roman"/>
          <w:sz w:val="22"/>
          <w:szCs w:val="22"/>
        </w:rPr>
        <w:t>the arts, each of which have their own “sphere” of authority</w:t>
      </w:r>
      <w:r w:rsidR="004E5727">
        <w:rPr>
          <w:rFonts w:ascii="Times-Roman" w:hAnsi="Times-Roman" w:cs="Times-Roman"/>
          <w:sz w:val="22"/>
          <w:szCs w:val="22"/>
        </w:rPr>
        <w:t xml:space="preserve"> (</w:t>
      </w:r>
      <w:proofErr w:type="spellStart"/>
      <w:r w:rsidR="004E5727">
        <w:rPr>
          <w:rFonts w:ascii="Times-Roman" w:hAnsi="Times-Roman" w:cs="Times-Roman"/>
          <w:sz w:val="22"/>
          <w:szCs w:val="22"/>
        </w:rPr>
        <w:t>Wolterstorff</w:t>
      </w:r>
      <w:proofErr w:type="spellEnd"/>
      <w:r w:rsidR="004E5727">
        <w:rPr>
          <w:rFonts w:ascii="Times-Roman" w:hAnsi="Times-Roman" w:cs="Times-Roman"/>
          <w:sz w:val="22"/>
          <w:szCs w:val="22"/>
        </w:rPr>
        <w:t>, 2005</w:t>
      </w:r>
      <w:r w:rsidR="00675742">
        <w:rPr>
          <w:rFonts w:ascii="Times-Roman" w:hAnsi="Times-Roman" w:cs="Times-Roman"/>
          <w:sz w:val="22"/>
          <w:szCs w:val="22"/>
        </w:rPr>
        <w:t>: 314).</w:t>
      </w:r>
      <w:r w:rsidR="009F4E6A">
        <w:rPr>
          <w:rFonts w:ascii="Times-Roman" w:hAnsi="Times-Roman" w:cs="Times-Roman"/>
          <w:sz w:val="22"/>
          <w:szCs w:val="22"/>
        </w:rPr>
        <w:t xml:space="preserve"> </w:t>
      </w:r>
      <w:r>
        <w:rPr>
          <w:rFonts w:ascii="Times-Roman" w:hAnsi="Times-Roman" w:cs="Times-Roman"/>
          <w:sz w:val="22"/>
          <w:szCs w:val="22"/>
        </w:rPr>
        <w:t xml:space="preserve">In </w:t>
      </w:r>
      <w:proofErr w:type="gramStart"/>
      <w:r>
        <w:rPr>
          <w:rFonts w:ascii="Times-Roman" w:hAnsi="Times-Roman" w:cs="Times-Roman"/>
          <w:sz w:val="22"/>
          <w:szCs w:val="22"/>
        </w:rPr>
        <w:t xml:space="preserve">the </w:t>
      </w:r>
      <w:r w:rsidR="00C60A5E">
        <w:rPr>
          <w:rFonts w:ascii="Times-Roman" w:hAnsi="Times-Roman" w:cs="Times-Roman"/>
          <w:sz w:val="22"/>
          <w:szCs w:val="22"/>
        </w:rPr>
        <w:t xml:space="preserve"> </w:t>
      </w:r>
      <w:r>
        <w:rPr>
          <w:rFonts w:ascii="Times-Roman" w:hAnsi="Times-Roman" w:cs="Times-Roman"/>
          <w:sz w:val="22"/>
          <w:szCs w:val="22"/>
        </w:rPr>
        <w:t>name</w:t>
      </w:r>
      <w:proofErr w:type="gramEnd"/>
      <w:r>
        <w:rPr>
          <w:rFonts w:ascii="Times-Roman" w:hAnsi="Times-Roman" w:cs="Times-Roman"/>
          <w:sz w:val="22"/>
          <w:szCs w:val="22"/>
        </w:rPr>
        <w:t xml:space="preserve"> of</w:t>
      </w:r>
      <w:r w:rsidR="00675742">
        <w:rPr>
          <w:rFonts w:ascii="Times-Roman" w:hAnsi="Times-Roman" w:cs="Times-Roman"/>
          <w:sz w:val="22"/>
          <w:szCs w:val="22"/>
        </w:rPr>
        <w:t xml:space="preserve"> </w:t>
      </w:r>
      <w:r>
        <w:rPr>
          <w:rFonts w:ascii="Times-Roman" w:hAnsi="Times-Roman" w:cs="Times-Roman"/>
          <w:sz w:val="22"/>
          <w:szCs w:val="22"/>
        </w:rPr>
        <w:t>justice and the common good, the government should protect individuals from</w:t>
      </w:r>
      <w:r w:rsidR="009F4E6A">
        <w:rPr>
          <w:rFonts w:ascii="Times-Roman" w:hAnsi="Times-Roman" w:cs="Times-Roman"/>
          <w:sz w:val="22"/>
          <w:szCs w:val="22"/>
        </w:rPr>
        <w:t xml:space="preserve"> </w:t>
      </w:r>
      <w:r>
        <w:rPr>
          <w:rFonts w:ascii="Times-Roman" w:hAnsi="Times-Roman" w:cs="Times-Roman"/>
          <w:sz w:val="22"/>
          <w:szCs w:val="22"/>
        </w:rPr>
        <w:t>abuses of power, ensure the stability of societal relationships and the unity of</w:t>
      </w:r>
      <w:r w:rsidR="00C60A5E">
        <w:rPr>
          <w:rFonts w:ascii="Times-Roman" w:hAnsi="Times-Roman" w:cs="Times-Roman"/>
          <w:sz w:val="22"/>
          <w:szCs w:val="22"/>
        </w:rPr>
        <w:t xml:space="preserve"> </w:t>
      </w:r>
      <w:r>
        <w:rPr>
          <w:rFonts w:ascii="Times-Roman" w:hAnsi="Times-Roman" w:cs="Times-Roman"/>
          <w:sz w:val="22"/>
          <w:szCs w:val="22"/>
        </w:rPr>
        <w:t>the state, and otherwise acknowledge the freedom of non-governmental social</w:t>
      </w:r>
      <w:r w:rsidR="00C60A5E">
        <w:rPr>
          <w:rFonts w:ascii="Times-Roman" w:hAnsi="Times-Roman" w:cs="Times-Roman"/>
          <w:sz w:val="22"/>
          <w:szCs w:val="22"/>
        </w:rPr>
        <w:t xml:space="preserve"> </w:t>
      </w:r>
      <w:r>
        <w:rPr>
          <w:rFonts w:ascii="Times-Roman" w:hAnsi="Times-Roman" w:cs="Times-Roman"/>
          <w:sz w:val="22"/>
          <w:szCs w:val="22"/>
        </w:rPr>
        <w:t>“</w:t>
      </w:r>
      <w:r w:rsidR="004E5727">
        <w:rPr>
          <w:rFonts w:ascii="Times-Roman" w:hAnsi="Times-Roman" w:cs="Times-Roman"/>
          <w:sz w:val="22"/>
          <w:szCs w:val="22"/>
        </w:rPr>
        <w:t>spheres</w:t>
      </w:r>
      <w:r>
        <w:rPr>
          <w:rFonts w:ascii="Times-Roman" w:hAnsi="Times-Roman" w:cs="Times-Roman"/>
          <w:sz w:val="22"/>
          <w:szCs w:val="22"/>
        </w:rPr>
        <w:t>”</w:t>
      </w:r>
      <w:r w:rsidR="004E5727">
        <w:rPr>
          <w:rFonts w:ascii="Times-Roman" w:hAnsi="Times-Roman" w:cs="Times-Roman"/>
          <w:sz w:val="22"/>
          <w:szCs w:val="22"/>
        </w:rPr>
        <w:t xml:space="preserve"> (Ibid., 319-20).</w:t>
      </w:r>
    </w:p>
    <w:p w14:paraId="66715EFE" w14:textId="77777777" w:rsidR="00B16B2F" w:rsidRDefault="00B16B2F" w:rsidP="009F4E6A">
      <w:pPr>
        <w:autoSpaceDE w:val="0"/>
        <w:autoSpaceDN w:val="0"/>
        <w:adjustRightInd w:val="0"/>
        <w:rPr>
          <w:rFonts w:ascii="Times-Roman" w:hAnsi="Times-Roman" w:cs="Times-Roman"/>
          <w:sz w:val="22"/>
          <w:szCs w:val="22"/>
        </w:rPr>
      </w:pPr>
    </w:p>
    <w:p w14:paraId="66715EFF" w14:textId="77777777" w:rsidR="00B16B2F" w:rsidRPr="00B16B2F" w:rsidRDefault="00B16B2F" w:rsidP="009F4E6A">
      <w:pPr>
        <w:autoSpaceDE w:val="0"/>
        <w:autoSpaceDN w:val="0"/>
        <w:adjustRightInd w:val="0"/>
        <w:ind w:firstLine="720"/>
        <w:jc w:val="both"/>
        <w:rPr>
          <w:rFonts w:ascii="Times-Italic" w:hAnsi="Times-Italic" w:cs="Times-Italic"/>
          <w:iCs/>
          <w:sz w:val="22"/>
          <w:szCs w:val="22"/>
        </w:rPr>
      </w:pPr>
      <w:r>
        <w:rPr>
          <w:rFonts w:ascii="Times-Roman" w:hAnsi="Times-Roman" w:cs="Times-Roman"/>
          <w:sz w:val="22"/>
          <w:szCs w:val="22"/>
        </w:rPr>
        <w:t>These views are re-articulated and</w:t>
      </w:r>
      <w:r w:rsidR="00C469B9">
        <w:rPr>
          <w:rFonts w:ascii="Times-Roman" w:hAnsi="Times-Roman" w:cs="Times-Roman"/>
          <w:sz w:val="22"/>
          <w:szCs w:val="22"/>
        </w:rPr>
        <w:t xml:space="preserve"> developed by </w:t>
      </w:r>
      <w:proofErr w:type="spellStart"/>
      <w:r w:rsidR="00C469B9">
        <w:rPr>
          <w:rFonts w:ascii="Times-Roman" w:hAnsi="Times-Roman" w:cs="Times-Roman"/>
          <w:sz w:val="22"/>
          <w:szCs w:val="22"/>
        </w:rPr>
        <w:t>Dooyeweerd</w:t>
      </w:r>
      <w:proofErr w:type="spellEnd"/>
      <w:proofErr w:type="gramStart"/>
      <w:r w:rsidR="00C469B9">
        <w:rPr>
          <w:rFonts w:ascii="Times-Roman" w:hAnsi="Times-Roman" w:cs="Times-Roman"/>
          <w:sz w:val="22"/>
          <w:szCs w:val="22"/>
        </w:rPr>
        <w:t xml:space="preserve">, </w:t>
      </w:r>
      <w:r w:rsidR="009F4E6A">
        <w:rPr>
          <w:rFonts w:ascii="Times-Roman" w:hAnsi="Times-Roman" w:cs="Times-Roman"/>
          <w:sz w:val="22"/>
          <w:szCs w:val="22"/>
        </w:rPr>
        <w:t xml:space="preserve"> who</w:t>
      </w:r>
      <w:proofErr w:type="gramEnd"/>
      <w:r w:rsidR="009F4E6A">
        <w:rPr>
          <w:rFonts w:ascii="Times-Roman" w:hAnsi="Times-Roman" w:cs="Times-Roman"/>
          <w:sz w:val="22"/>
          <w:szCs w:val="22"/>
        </w:rPr>
        <w:t xml:space="preserve"> believed </w:t>
      </w:r>
      <w:r>
        <w:rPr>
          <w:rFonts w:ascii="Times-Roman" w:hAnsi="Times-Roman" w:cs="Times-Roman"/>
          <w:sz w:val="22"/>
          <w:szCs w:val="22"/>
        </w:rPr>
        <w:t xml:space="preserve">that </w:t>
      </w:r>
      <w:proofErr w:type="spellStart"/>
      <w:r>
        <w:rPr>
          <w:rFonts w:ascii="Times-Roman" w:hAnsi="Times-Roman" w:cs="Times-Roman"/>
          <w:sz w:val="22"/>
          <w:szCs w:val="22"/>
        </w:rPr>
        <w:t>Kuyper</w:t>
      </w:r>
      <w:proofErr w:type="spellEnd"/>
      <w:r>
        <w:rPr>
          <w:rFonts w:ascii="Times-Roman" w:hAnsi="Times-Roman" w:cs="Times-Roman"/>
          <w:sz w:val="22"/>
          <w:szCs w:val="22"/>
        </w:rPr>
        <w:t xml:space="preserve"> had properly discerned a Christian view of</w:t>
      </w:r>
      <w:r w:rsidR="00C469B9">
        <w:rPr>
          <w:rFonts w:ascii="Times-Roman" w:hAnsi="Times-Roman" w:cs="Times-Roman"/>
          <w:sz w:val="22"/>
          <w:szCs w:val="22"/>
        </w:rPr>
        <w:t xml:space="preserve"> </w:t>
      </w:r>
      <w:r>
        <w:rPr>
          <w:rFonts w:ascii="Times-Roman" w:hAnsi="Times-Roman" w:cs="Times-Roman"/>
          <w:sz w:val="22"/>
          <w:szCs w:val="22"/>
        </w:rPr>
        <w:t xml:space="preserve">state and society based </w:t>
      </w:r>
      <w:r w:rsidR="009F4E6A">
        <w:rPr>
          <w:rFonts w:ascii="Times-Roman" w:hAnsi="Times-Roman" w:cs="Times-Roman"/>
          <w:sz w:val="22"/>
          <w:szCs w:val="22"/>
        </w:rPr>
        <w:t xml:space="preserve"> </w:t>
      </w:r>
      <w:r>
        <w:rPr>
          <w:rFonts w:ascii="Times-Roman" w:hAnsi="Times-Roman" w:cs="Times-Roman"/>
          <w:sz w:val="22"/>
          <w:szCs w:val="22"/>
        </w:rPr>
        <w:t>on biblical norms and principles. A certain arrogance is</w:t>
      </w:r>
      <w:r w:rsidR="009D68ED">
        <w:rPr>
          <w:rFonts w:ascii="Times-Roman" w:hAnsi="Times-Roman" w:cs="Times-Roman"/>
          <w:sz w:val="22"/>
          <w:szCs w:val="22"/>
        </w:rPr>
        <w:t xml:space="preserve"> </w:t>
      </w:r>
      <w:r>
        <w:rPr>
          <w:rFonts w:ascii="Times-Roman" w:hAnsi="Times-Roman" w:cs="Times-Roman"/>
          <w:sz w:val="22"/>
          <w:szCs w:val="22"/>
        </w:rPr>
        <w:t>suggested by such theorizing—“I think this is how God would see things”—but</w:t>
      </w:r>
      <w:r w:rsidR="009D68ED">
        <w:rPr>
          <w:rFonts w:ascii="Times-Roman" w:hAnsi="Times-Roman" w:cs="Times-Roman"/>
          <w:sz w:val="22"/>
          <w:szCs w:val="22"/>
        </w:rPr>
        <w:t xml:space="preserve"> </w:t>
      </w:r>
      <w:r>
        <w:rPr>
          <w:rFonts w:ascii="Times-Roman" w:hAnsi="Times-Roman" w:cs="Times-Roman"/>
          <w:sz w:val="22"/>
          <w:szCs w:val="22"/>
        </w:rPr>
        <w:t>such confidence is not unlike the confidence of any theorist who, on the basis of</w:t>
      </w:r>
      <w:r w:rsidR="009D68ED">
        <w:rPr>
          <w:rFonts w:ascii="Times-Roman" w:hAnsi="Times-Roman" w:cs="Times-Roman"/>
          <w:sz w:val="22"/>
          <w:szCs w:val="22"/>
        </w:rPr>
        <w:t xml:space="preserve"> </w:t>
      </w:r>
      <w:r>
        <w:rPr>
          <w:rFonts w:ascii="Times-Roman" w:hAnsi="Times-Roman" w:cs="Times-Roman"/>
          <w:sz w:val="22"/>
          <w:szCs w:val="22"/>
        </w:rPr>
        <w:t xml:space="preserve">strongly-held beliefs, argues for progress or reform in politics and law. </w:t>
      </w:r>
      <w:r w:rsidR="00C60A5E">
        <w:rPr>
          <w:rFonts w:ascii="Times-Roman" w:hAnsi="Times-Roman" w:cs="Times-Roman"/>
          <w:sz w:val="22"/>
          <w:szCs w:val="22"/>
        </w:rPr>
        <w:t xml:space="preserve"> </w:t>
      </w:r>
      <w:proofErr w:type="spellStart"/>
      <w:r>
        <w:rPr>
          <w:rFonts w:ascii="Times-Roman" w:hAnsi="Times-Roman" w:cs="Times-Roman"/>
          <w:sz w:val="22"/>
          <w:szCs w:val="22"/>
        </w:rPr>
        <w:t>Dooyeweerd’s</w:t>
      </w:r>
      <w:proofErr w:type="spellEnd"/>
      <w:r w:rsidR="009D68ED">
        <w:rPr>
          <w:rFonts w:ascii="Times-Roman" w:hAnsi="Times-Roman" w:cs="Times-Roman"/>
          <w:sz w:val="22"/>
          <w:szCs w:val="22"/>
        </w:rPr>
        <w:t xml:space="preserve"> </w:t>
      </w:r>
      <w:r w:rsidR="00D433D1">
        <w:rPr>
          <w:rFonts w:ascii="Times-Roman" w:hAnsi="Times-Roman" w:cs="Times-Roman"/>
          <w:sz w:val="22"/>
          <w:szCs w:val="22"/>
        </w:rPr>
        <w:t>work</w:t>
      </w:r>
      <w:r>
        <w:rPr>
          <w:rFonts w:ascii="Times-Roman" w:hAnsi="Times-Roman" w:cs="Times-Roman"/>
          <w:sz w:val="22"/>
          <w:szCs w:val="22"/>
        </w:rPr>
        <w:t xml:space="preserve"> serves as an example of such confidence, beliefs, and arguments for</w:t>
      </w:r>
      <w:r w:rsidR="009F4E6A">
        <w:rPr>
          <w:rFonts w:ascii="Times-Roman" w:hAnsi="Times-Roman" w:cs="Times-Roman"/>
          <w:sz w:val="22"/>
          <w:szCs w:val="22"/>
        </w:rPr>
        <w:t xml:space="preserve"> </w:t>
      </w:r>
      <w:r>
        <w:rPr>
          <w:rFonts w:ascii="Times-Roman" w:hAnsi="Times-Roman" w:cs="Times-Roman"/>
          <w:sz w:val="22"/>
          <w:szCs w:val="22"/>
        </w:rPr>
        <w:t>reform.</w:t>
      </w:r>
      <w:r w:rsidR="00C469B9">
        <w:rPr>
          <w:rFonts w:ascii="Times-Roman" w:hAnsi="Times-Roman" w:cs="Times-Roman"/>
          <w:sz w:val="22"/>
          <w:szCs w:val="22"/>
        </w:rPr>
        <w:t xml:space="preserve"> </w:t>
      </w:r>
      <w:r>
        <w:rPr>
          <w:rFonts w:ascii="Times-Roman" w:hAnsi="Times-Roman" w:cs="Times-Roman"/>
          <w:sz w:val="22"/>
          <w:szCs w:val="22"/>
        </w:rPr>
        <w:t xml:space="preserve"> More specifically, </w:t>
      </w:r>
      <w:proofErr w:type="spellStart"/>
      <w:r>
        <w:rPr>
          <w:rFonts w:ascii="Times-Roman" w:hAnsi="Times-Roman" w:cs="Times-Roman"/>
          <w:sz w:val="22"/>
          <w:szCs w:val="22"/>
        </w:rPr>
        <w:lastRenderedPageBreak/>
        <w:t>Kuyper’s</w:t>
      </w:r>
      <w:proofErr w:type="spellEnd"/>
      <w:r>
        <w:rPr>
          <w:rFonts w:ascii="Times-Roman" w:hAnsi="Times-Roman" w:cs="Times-Roman"/>
          <w:sz w:val="22"/>
          <w:szCs w:val="22"/>
        </w:rPr>
        <w:t xml:space="preserve"> view that certain social, organizational</w:t>
      </w:r>
      <w:r w:rsidR="009F4E6A">
        <w:rPr>
          <w:rFonts w:ascii="Times-Roman" w:hAnsi="Times-Roman" w:cs="Times-Roman"/>
          <w:sz w:val="22"/>
          <w:szCs w:val="22"/>
        </w:rPr>
        <w:t xml:space="preserve"> </w:t>
      </w:r>
      <w:proofErr w:type="gramStart"/>
      <w:r>
        <w:rPr>
          <w:rFonts w:ascii="Times-Roman" w:hAnsi="Times-Roman" w:cs="Times-Roman"/>
          <w:sz w:val="22"/>
          <w:szCs w:val="22"/>
        </w:rPr>
        <w:t xml:space="preserve">structures </w:t>
      </w:r>
      <w:r w:rsidR="00C469B9">
        <w:rPr>
          <w:rFonts w:ascii="Times-Roman" w:hAnsi="Times-Roman" w:cs="Times-Roman"/>
          <w:sz w:val="22"/>
          <w:szCs w:val="22"/>
        </w:rPr>
        <w:t xml:space="preserve"> </w:t>
      </w:r>
      <w:r>
        <w:rPr>
          <w:rFonts w:ascii="Times-Roman" w:hAnsi="Times-Roman" w:cs="Times-Roman"/>
          <w:sz w:val="22"/>
          <w:szCs w:val="22"/>
        </w:rPr>
        <w:t>should</w:t>
      </w:r>
      <w:proofErr w:type="gramEnd"/>
      <w:r>
        <w:rPr>
          <w:rFonts w:ascii="Times-Roman" w:hAnsi="Times-Roman" w:cs="Times-Roman"/>
          <w:sz w:val="22"/>
          <w:szCs w:val="22"/>
        </w:rPr>
        <w:t xml:space="preserve"> be identified, recognized as legitimate, and granted independence</w:t>
      </w:r>
      <w:r w:rsidR="009F4E6A">
        <w:rPr>
          <w:rFonts w:ascii="Times-Roman" w:hAnsi="Times-Roman" w:cs="Times-Roman"/>
          <w:sz w:val="22"/>
          <w:szCs w:val="22"/>
        </w:rPr>
        <w:t xml:space="preserve"> </w:t>
      </w:r>
      <w:r>
        <w:rPr>
          <w:rFonts w:ascii="Times-Roman" w:hAnsi="Times-Roman" w:cs="Times-Roman"/>
          <w:sz w:val="22"/>
          <w:szCs w:val="22"/>
        </w:rPr>
        <w:t xml:space="preserve">from the state is the unifying theme of </w:t>
      </w:r>
      <w:proofErr w:type="spellStart"/>
      <w:r>
        <w:rPr>
          <w:rFonts w:ascii="Times-Roman" w:hAnsi="Times-Roman" w:cs="Times-Roman"/>
          <w:sz w:val="22"/>
          <w:szCs w:val="22"/>
        </w:rPr>
        <w:t>Dooyeweerd’</w:t>
      </w:r>
      <w:r w:rsidR="00D433D1">
        <w:rPr>
          <w:rFonts w:ascii="Times-Roman" w:hAnsi="Times-Roman" w:cs="Times-Roman"/>
          <w:sz w:val="22"/>
          <w:szCs w:val="22"/>
        </w:rPr>
        <w:t>s</w:t>
      </w:r>
      <w:proofErr w:type="spellEnd"/>
      <w:r w:rsidR="00D433D1">
        <w:rPr>
          <w:rFonts w:ascii="Times-Roman" w:hAnsi="Times-Roman" w:cs="Times-Roman"/>
          <w:sz w:val="22"/>
          <w:szCs w:val="22"/>
        </w:rPr>
        <w:t xml:space="preserve"> work.  For example, in his analysis o</w:t>
      </w:r>
      <w:r w:rsidR="009F4E6A">
        <w:rPr>
          <w:rFonts w:ascii="Times-Roman" w:hAnsi="Times-Roman" w:cs="Times-Roman"/>
          <w:sz w:val="22"/>
          <w:szCs w:val="22"/>
        </w:rPr>
        <w:t xml:space="preserve">f </w:t>
      </w:r>
      <w:r w:rsidR="00D433D1">
        <w:rPr>
          <w:rFonts w:ascii="Times-Roman" w:hAnsi="Times-Roman" w:cs="Times-Roman"/>
          <w:sz w:val="22"/>
          <w:szCs w:val="22"/>
        </w:rPr>
        <w:t xml:space="preserve">modern law, </w:t>
      </w:r>
      <w:proofErr w:type="spellStart"/>
      <w:r w:rsidR="00D433D1">
        <w:rPr>
          <w:rFonts w:ascii="Times-Roman" w:hAnsi="Times-Roman" w:cs="Times-Roman"/>
          <w:sz w:val="22"/>
          <w:szCs w:val="22"/>
        </w:rPr>
        <w:t>Dooyeweerd</w:t>
      </w:r>
      <w:proofErr w:type="spellEnd"/>
      <w:r w:rsidR="00D433D1">
        <w:rPr>
          <w:rFonts w:ascii="Times-Roman" w:hAnsi="Times-Roman" w:cs="Times-Roman"/>
          <w:sz w:val="22"/>
          <w:szCs w:val="22"/>
        </w:rPr>
        <w:t xml:space="preserve"> notes that the concept of </w:t>
      </w:r>
      <w:r>
        <w:rPr>
          <w:rFonts w:ascii="Times-Roman" w:hAnsi="Times-Roman" w:cs="Times-Roman"/>
          <w:sz w:val="22"/>
          <w:szCs w:val="22"/>
        </w:rPr>
        <w:t>free association</w:t>
      </w:r>
      <w:r w:rsidR="00D433D1">
        <w:rPr>
          <w:rFonts w:ascii="Times-Roman" w:hAnsi="Times-Roman" w:cs="Times-Roman"/>
          <w:sz w:val="22"/>
          <w:szCs w:val="22"/>
        </w:rPr>
        <w:t>s</w:t>
      </w:r>
      <w:r>
        <w:rPr>
          <w:rFonts w:ascii="Times-Roman" w:hAnsi="Times-Roman" w:cs="Times-Roman"/>
          <w:sz w:val="22"/>
          <w:szCs w:val="22"/>
        </w:rPr>
        <w:t xml:space="preserve"> is missing</w:t>
      </w:r>
      <w:r w:rsidR="009F4E6A">
        <w:rPr>
          <w:rFonts w:ascii="Times-Roman" w:hAnsi="Times-Roman" w:cs="Times-Roman"/>
          <w:sz w:val="22"/>
          <w:szCs w:val="22"/>
        </w:rPr>
        <w:t xml:space="preserve"> </w:t>
      </w:r>
      <w:r>
        <w:rPr>
          <w:rFonts w:ascii="Times-Roman" w:hAnsi="Times-Roman" w:cs="Times-Roman"/>
          <w:sz w:val="22"/>
          <w:szCs w:val="22"/>
        </w:rPr>
        <w:t>from: (i) traditional individualistic or communitarian accounts of law; (ii) the</w:t>
      </w:r>
      <w:r w:rsidR="009F4E6A">
        <w:rPr>
          <w:rFonts w:ascii="Times-Roman" w:hAnsi="Times-Roman" w:cs="Times-Roman"/>
          <w:sz w:val="22"/>
          <w:szCs w:val="22"/>
        </w:rPr>
        <w:t xml:space="preserve"> </w:t>
      </w:r>
      <w:r>
        <w:rPr>
          <w:rFonts w:ascii="Times-Roman" w:hAnsi="Times-Roman" w:cs="Times-Roman"/>
          <w:sz w:val="22"/>
          <w:szCs w:val="22"/>
        </w:rPr>
        <w:t>legal regimes in earlier, undifferentiated societies; and (iii) the notion that</w:t>
      </w:r>
      <w:r w:rsidR="009F4E6A">
        <w:rPr>
          <w:rFonts w:ascii="Times-Roman" w:hAnsi="Times-Roman" w:cs="Times-Roman"/>
          <w:sz w:val="22"/>
          <w:szCs w:val="22"/>
        </w:rPr>
        <w:t xml:space="preserve"> </w:t>
      </w:r>
      <w:r>
        <w:rPr>
          <w:rFonts w:ascii="Times-Roman" w:hAnsi="Times-Roman" w:cs="Times-Roman"/>
          <w:sz w:val="22"/>
          <w:szCs w:val="22"/>
        </w:rPr>
        <w:t>public law and private civil law that are the primary and exclusive categories for</w:t>
      </w:r>
      <w:r w:rsidR="009F4E6A">
        <w:rPr>
          <w:rFonts w:ascii="Times-Roman" w:hAnsi="Times-Roman" w:cs="Times-Roman"/>
          <w:sz w:val="22"/>
          <w:szCs w:val="22"/>
        </w:rPr>
        <w:t xml:space="preserve"> </w:t>
      </w:r>
      <w:r>
        <w:rPr>
          <w:rFonts w:ascii="Times-Roman" w:hAnsi="Times-Roman" w:cs="Times-Roman"/>
          <w:sz w:val="22"/>
          <w:szCs w:val="22"/>
        </w:rPr>
        <w:t>a formal legal system</w:t>
      </w:r>
      <w:r w:rsidR="00E91D1E">
        <w:rPr>
          <w:rFonts w:ascii="Times-Roman" w:hAnsi="Times-Roman" w:cs="Times-Roman"/>
          <w:sz w:val="22"/>
          <w:szCs w:val="22"/>
        </w:rPr>
        <w:t>.</w:t>
      </w:r>
    </w:p>
    <w:p w14:paraId="66715F00" w14:textId="77777777" w:rsidR="0052387D" w:rsidRDefault="0052387D" w:rsidP="009F4E6A">
      <w:pPr>
        <w:autoSpaceDE w:val="0"/>
        <w:autoSpaceDN w:val="0"/>
        <w:adjustRightInd w:val="0"/>
        <w:rPr>
          <w:rFonts w:ascii="Times-Italic" w:hAnsi="Times-Italic" w:cs="Times-Italic"/>
          <w:i/>
          <w:iCs/>
          <w:sz w:val="22"/>
          <w:szCs w:val="22"/>
        </w:rPr>
      </w:pPr>
    </w:p>
    <w:p w14:paraId="66715F01" w14:textId="77777777" w:rsidR="00B16B2F" w:rsidRDefault="00B16B2F" w:rsidP="009F4E6A">
      <w:pPr>
        <w:autoSpaceDE w:val="0"/>
        <w:autoSpaceDN w:val="0"/>
        <w:adjustRightInd w:val="0"/>
        <w:rPr>
          <w:rFonts w:ascii="Times-Italic" w:hAnsi="Times-Italic" w:cs="Times-Italic"/>
          <w:i/>
          <w:iCs/>
          <w:sz w:val="22"/>
          <w:szCs w:val="22"/>
        </w:rPr>
      </w:pPr>
    </w:p>
    <w:p w14:paraId="66715F02" w14:textId="77777777" w:rsidR="00B16B2F" w:rsidRPr="000A7F24" w:rsidRDefault="00B16B2F" w:rsidP="000A7F24">
      <w:pPr>
        <w:spacing w:before="100" w:beforeAutospacing="1" w:after="100" w:afterAutospacing="1"/>
        <w:outlineLvl w:val="1"/>
        <w:rPr>
          <w:b/>
          <w:bCs/>
          <w:sz w:val="36"/>
          <w:szCs w:val="36"/>
        </w:rPr>
      </w:pPr>
      <w:r w:rsidRPr="000A7F24">
        <w:rPr>
          <w:b/>
          <w:bCs/>
          <w:sz w:val="36"/>
          <w:szCs w:val="36"/>
        </w:rPr>
        <w:t xml:space="preserve">A Theory </w:t>
      </w:r>
      <w:proofErr w:type="gramStart"/>
      <w:r w:rsidRPr="000A7F24">
        <w:rPr>
          <w:b/>
          <w:bCs/>
          <w:sz w:val="36"/>
          <w:szCs w:val="36"/>
        </w:rPr>
        <w:t>Of</w:t>
      </w:r>
      <w:proofErr w:type="gramEnd"/>
      <w:r w:rsidRPr="000A7F24">
        <w:rPr>
          <w:b/>
          <w:bCs/>
          <w:sz w:val="36"/>
          <w:szCs w:val="36"/>
        </w:rPr>
        <w:t xml:space="preserve"> [Christian] Theorizing</w:t>
      </w:r>
    </w:p>
    <w:p w14:paraId="66715F03" w14:textId="77777777" w:rsidR="00B16B2F" w:rsidRDefault="00B16B2F" w:rsidP="009F4E6A">
      <w:pPr>
        <w:autoSpaceDE w:val="0"/>
        <w:autoSpaceDN w:val="0"/>
        <w:adjustRightInd w:val="0"/>
        <w:jc w:val="both"/>
        <w:rPr>
          <w:rFonts w:ascii="Times-Roman" w:hAnsi="Times-Roman" w:cs="Times-Roman"/>
          <w:sz w:val="22"/>
          <w:szCs w:val="22"/>
        </w:rPr>
      </w:pPr>
      <w:r>
        <w:rPr>
          <w:rFonts w:ascii="Times-Roman" w:hAnsi="Times-Roman" w:cs="Times-Roman"/>
          <w:sz w:val="22"/>
          <w:szCs w:val="22"/>
        </w:rPr>
        <w:t xml:space="preserve">Nicholas </w:t>
      </w:r>
      <w:proofErr w:type="spellStart"/>
      <w:r>
        <w:rPr>
          <w:rFonts w:ascii="Times-Roman" w:hAnsi="Times-Roman" w:cs="Times-Roman"/>
          <w:sz w:val="22"/>
          <w:szCs w:val="22"/>
        </w:rPr>
        <w:t>Wolterstorff</w:t>
      </w:r>
      <w:proofErr w:type="spellEnd"/>
      <w:r>
        <w:rPr>
          <w:rFonts w:ascii="Times-Roman" w:hAnsi="Times-Roman" w:cs="Times-Roman"/>
          <w:sz w:val="22"/>
          <w:szCs w:val="22"/>
        </w:rPr>
        <w:t xml:space="preserve">, in his brief book entitled </w:t>
      </w:r>
      <w:r>
        <w:rPr>
          <w:rFonts w:ascii="Times-Italic" w:hAnsi="Times-Italic" w:cs="Times-Italic"/>
          <w:i/>
          <w:iCs/>
          <w:sz w:val="22"/>
          <w:szCs w:val="22"/>
        </w:rPr>
        <w:t>Reason within the Bounds of</w:t>
      </w:r>
      <w:r w:rsidR="009F4E6A">
        <w:rPr>
          <w:rFonts w:ascii="Times-Italic" w:hAnsi="Times-Italic" w:cs="Times-Italic"/>
          <w:i/>
          <w:iCs/>
          <w:sz w:val="22"/>
          <w:szCs w:val="22"/>
        </w:rPr>
        <w:t xml:space="preserve"> </w:t>
      </w:r>
      <w:r>
        <w:rPr>
          <w:rFonts w:ascii="Times-Italic" w:hAnsi="Times-Italic" w:cs="Times-Italic"/>
          <w:i/>
          <w:iCs/>
          <w:sz w:val="22"/>
          <w:szCs w:val="22"/>
        </w:rPr>
        <w:t xml:space="preserve">Religion </w:t>
      </w:r>
      <w:r>
        <w:rPr>
          <w:rFonts w:ascii="Times-Roman" w:hAnsi="Times-Roman" w:cs="Times-Roman"/>
          <w:sz w:val="22"/>
          <w:szCs w:val="22"/>
        </w:rPr>
        <w:t>(1976), offers a useful account of how a religious person—indeed, any</w:t>
      </w:r>
      <w:r w:rsidR="009F4E6A">
        <w:rPr>
          <w:rFonts w:ascii="Times-Roman" w:hAnsi="Times-Roman" w:cs="Times-Roman"/>
          <w:sz w:val="22"/>
          <w:szCs w:val="22"/>
        </w:rPr>
        <w:t xml:space="preserve"> </w:t>
      </w:r>
      <w:r>
        <w:rPr>
          <w:rFonts w:ascii="Times-Roman" w:hAnsi="Times-Roman" w:cs="Times-Roman"/>
          <w:sz w:val="22"/>
          <w:szCs w:val="22"/>
        </w:rPr>
        <w:t xml:space="preserve">person—engages in theoretical inquiry. At the outset, </w:t>
      </w:r>
      <w:proofErr w:type="spellStart"/>
      <w:r>
        <w:rPr>
          <w:rFonts w:ascii="Times-Roman" w:hAnsi="Times-Roman" w:cs="Times-Roman"/>
          <w:sz w:val="22"/>
          <w:szCs w:val="22"/>
        </w:rPr>
        <w:t>Wolterstorff</w:t>
      </w:r>
      <w:proofErr w:type="spellEnd"/>
      <w:r>
        <w:rPr>
          <w:rFonts w:ascii="Times-Roman" w:hAnsi="Times-Roman" w:cs="Times-Roman"/>
          <w:sz w:val="22"/>
          <w:szCs w:val="22"/>
        </w:rPr>
        <w:t xml:space="preserve"> confirms that</w:t>
      </w:r>
      <w:r w:rsidR="009F4E6A">
        <w:rPr>
          <w:rFonts w:ascii="Times-Roman" w:hAnsi="Times-Roman" w:cs="Times-Roman"/>
          <w:sz w:val="22"/>
          <w:szCs w:val="22"/>
        </w:rPr>
        <w:t xml:space="preserve"> </w:t>
      </w:r>
      <w:r>
        <w:rPr>
          <w:rFonts w:ascii="Times-Roman" w:hAnsi="Times-Roman" w:cs="Times-Roman"/>
          <w:sz w:val="22"/>
          <w:szCs w:val="22"/>
        </w:rPr>
        <w:t xml:space="preserve">for Christians the Bible does not provide a foundation, in the sense of </w:t>
      </w:r>
      <w:proofErr w:type="spellStart"/>
      <w:r>
        <w:rPr>
          <w:rFonts w:ascii="Times-Roman" w:hAnsi="Times-Roman" w:cs="Times-Roman"/>
          <w:sz w:val="22"/>
          <w:szCs w:val="22"/>
        </w:rPr>
        <w:t>foundationalist</w:t>
      </w:r>
      <w:proofErr w:type="spellEnd"/>
      <w:r w:rsidR="009F4E6A">
        <w:rPr>
          <w:rFonts w:ascii="Times-Roman" w:hAnsi="Times-Roman" w:cs="Times-Roman"/>
          <w:sz w:val="22"/>
          <w:szCs w:val="22"/>
        </w:rPr>
        <w:t xml:space="preserve"> </w:t>
      </w:r>
      <w:r>
        <w:rPr>
          <w:rFonts w:ascii="Times-Roman" w:hAnsi="Times-Roman" w:cs="Times-Roman"/>
          <w:sz w:val="22"/>
          <w:szCs w:val="22"/>
        </w:rPr>
        <w:t>perspectives among philosophers, for theorizing: “Scripture does not provide</w:t>
      </w:r>
      <w:r w:rsidR="009F4E6A">
        <w:rPr>
          <w:rFonts w:ascii="Times-Roman" w:hAnsi="Times-Roman" w:cs="Times-Roman"/>
          <w:sz w:val="22"/>
          <w:szCs w:val="22"/>
        </w:rPr>
        <w:t xml:space="preserve"> </w:t>
      </w:r>
      <w:r>
        <w:rPr>
          <w:rFonts w:ascii="Times-Roman" w:hAnsi="Times-Roman" w:cs="Times-Roman"/>
          <w:sz w:val="22"/>
          <w:szCs w:val="22"/>
        </w:rPr>
        <w:t>us with a body of indubitably known propositions by reference to which</w:t>
      </w:r>
      <w:r w:rsidR="009F4E6A">
        <w:rPr>
          <w:rFonts w:ascii="Times-Roman" w:hAnsi="Times-Roman" w:cs="Times-Roman"/>
          <w:sz w:val="22"/>
          <w:szCs w:val="22"/>
        </w:rPr>
        <w:t xml:space="preserve"> </w:t>
      </w:r>
      <w:r>
        <w:rPr>
          <w:rFonts w:ascii="Times-Roman" w:hAnsi="Times-Roman" w:cs="Times-Roman"/>
          <w:sz w:val="22"/>
          <w:szCs w:val="22"/>
        </w:rPr>
        <w:t>one can govern all our acceptanc</w:t>
      </w:r>
      <w:r w:rsidR="00D433D1">
        <w:rPr>
          <w:rFonts w:ascii="Times-Roman" w:hAnsi="Times-Roman" w:cs="Times-Roman"/>
          <w:sz w:val="22"/>
          <w:szCs w:val="22"/>
        </w:rPr>
        <w:t xml:space="preserve">e and </w:t>
      </w:r>
      <w:proofErr w:type="spellStart"/>
      <w:r w:rsidR="00D433D1">
        <w:rPr>
          <w:rFonts w:ascii="Times-Roman" w:hAnsi="Times-Roman" w:cs="Times-Roman"/>
          <w:sz w:val="22"/>
          <w:szCs w:val="22"/>
        </w:rPr>
        <w:t>nonacceptance</w:t>
      </w:r>
      <w:proofErr w:type="spellEnd"/>
      <w:r w:rsidR="00D433D1">
        <w:rPr>
          <w:rFonts w:ascii="Times-Roman" w:hAnsi="Times-Roman" w:cs="Times-Roman"/>
          <w:sz w:val="22"/>
          <w:szCs w:val="22"/>
        </w:rPr>
        <w:t xml:space="preserve"> of theories</w:t>
      </w:r>
      <w:r>
        <w:rPr>
          <w:rFonts w:ascii="Times-Roman" w:hAnsi="Times-Roman" w:cs="Times-Roman"/>
          <w:sz w:val="22"/>
          <w:szCs w:val="22"/>
        </w:rPr>
        <w:t>”</w:t>
      </w:r>
      <w:r w:rsidR="00D433D1">
        <w:rPr>
          <w:rFonts w:ascii="Times-Roman" w:hAnsi="Times-Roman" w:cs="Times-Roman"/>
          <w:sz w:val="22"/>
          <w:szCs w:val="22"/>
        </w:rPr>
        <w:t xml:space="preserve"> (</w:t>
      </w:r>
      <w:proofErr w:type="spellStart"/>
      <w:r w:rsidR="00D433D1">
        <w:rPr>
          <w:rFonts w:ascii="Times-Roman" w:hAnsi="Times-Roman" w:cs="Times-Roman"/>
          <w:sz w:val="22"/>
          <w:szCs w:val="22"/>
        </w:rPr>
        <w:t>Wolterstorff</w:t>
      </w:r>
      <w:proofErr w:type="spellEnd"/>
      <w:r w:rsidR="00D433D1">
        <w:rPr>
          <w:rFonts w:ascii="Times-Roman" w:hAnsi="Times-Roman" w:cs="Times-Roman"/>
          <w:sz w:val="22"/>
          <w:szCs w:val="22"/>
        </w:rPr>
        <w:t xml:space="preserve">, 1976: 55, 58). </w:t>
      </w:r>
      <w:r>
        <w:rPr>
          <w:rFonts w:ascii="Times-Roman" w:hAnsi="Times-Roman" w:cs="Times-Roman"/>
          <w:sz w:val="13"/>
          <w:szCs w:val="13"/>
        </w:rPr>
        <w:t xml:space="preserve"> </w:t>
      </w:r>
      <w:r w:rsidR="009F4E6A">
        <w:rPr>
          <w:rFonts w:ascii="Times-Roman" w:hAnsi="Times-Roman" w:cs="Times-Roman"/>
          <w:sz w:val="13"/>
          <w:szCs w:val="13"/>
        </w:rPr>
        <w:t xml:space="preserve"> </w:t>
      </w:r>
      <w:r>
        <w:rPr>
          <w:rFonts w:ascii="Times-Roman" w:hAnsi="Times-Roman" w:cs="Times-Roman"/>
          <w:sz w:val="22"/>
          <w:szCs w:val="22"/>
        </w:rPr>
        <w:t>Because</w:t>
      </w:r>
      <w:r w:rsidR="00D433D1">
        <w:rPr>
          <w:rFonts w:ascii="Times-Roman" w:hAnsi="Times-Roman" w:cs="Times-Roman"/>
          <w:sz w:val="22"/>
          <w:szCs w:val="22"/>
        </w:rPr>
        <w:t xml:space="preserve"> </w:t>
      </w:r>
      <w:r>
        <w:rPr>
          <w:rFonts w:ascii="Times-Roman" w:hAnsi="Times-Roman" w:cs="Times-Roman"/>
          <w:sz w:val="22"/>
          <w:szCs w:val="22"/>
        </w:rPr>
        <w:t>“</w:t>
      </w:r>
      <w:r w:rsidR="00C469B9">
        <w:rPr>
          <w:rFonts w:ascii="Times-Roman" w:hAnsi="Times-Roman" w:cs="Times-Roman"/>
          <w:sz w:val="22"/>
          <w:szCs w:val="22"/>
        </w:rPr>
        <w:t>the Bible cannot function as</w:t>
      </w:r>
      <w:r>
        <w:rPr>
          <w:rFonts w:ascii="Times-Roman" w:hAnsi="Times-Roman" w:cs="Times-Roman"/>
          <w:sz w:val="22"/>
          <w:szCs w:val="22"/>
        </w:rPr>
        <w:t xml:space="preserve"> a black book of theories for the Christian scholar,”</w:t>
      </w:r>
    </w:p>
    <w:p w14:paraId="66715F04" w14:textId="77777777" w:rsidR="00B16B2F" w:rsidRDefault="00B16B2F" w:rsidP="009F4E6A">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the</w:t>
      </w:r>
      <w:proofErr w:type="gramEnd"/>
      <w:r>
        <w:rPr>
          <w:rFonts w:ascii="Times-Roman" w:hAnsi="Times-Roman" w:cs="Times-Roman"/>
          <w:sz w:val="22"/>
          <w:szCs w:val="22"/>
        </w:rPr>
        <w:t xml:space="preserve"> Christian scholar “arrives at the data for his [theory-weighing or testing] by</w:t>
      </w:r>
      <w:r w:rsidR="009F4E6A">
        <w:rPr>
          <w:rFonts w:ascii="Times-Roman" w:hAnsi="Times-Roman" w:cs="Times-Roman"/>
          <w:sz w:val="22"/>
          <w:szCs w:val="22"/>
        </w:rPr>
        <w:t xml:space="preserve"> </w:t>
      </w:r>
      <w:r>
        <w:rPr>
          <w:rFonts w:ascii="Times-Roman" w:hAnsi="Times-Roman" w:cs="Times-Roman"/>
          <w:sz w:val="22"/>
          <w:szCs w:val="22"/>
        </w:rPr>
        <w:t>using the same strategies as everyone else—by observing and reflecting on the</w:t>
      </w:r>
      <w:r w:rsidR="009F4E6A">
        <w:rPr>
          <w:rFonts w:ascii="Times-Roman" w:hAnsi="Times-Roman" w:cs="Times-Roman"/>
          <w:sz w:val="22"/>
          <w:szCs w:val="22"/>
        </w:rPr>
        <w:t xml:space="preserve"> </w:t>
      </w:r>
      <w:r w:rsidR="00D433D1">
        <w:rPr>
          <w:rFonts w:ascii="Times-Roman" w:hAnsi="Times-Roman" w:cs="Times-Roman"/>
          <w:sz w:val="22"/>
          <w:szCs w:val="22"/>
        </w:rPr>
        <w:t>world about him</w:t>
      </w:r>
      <w:r>
        <w:rPr>
          <w:rFonts w:ascii="Times-Roman" w:hAnsi="Times-Roman" w:cs="Times-Roman"/>
          <w:sz w:val="22"/>
          <w:szCs w:val="22"/>
        </w:rPr>
        <w:t>”</w:t>
      </w:r>
      <w:r w:rsidR="00D433D1">
        <w:rPr>
          <w:rFonts w:ascii="Times-Roman" w:hAnsi="Times-Roman" w:cs="Times-Roman"/>
          <w:sz w:val="22"/>
          <w:szCs w:val="22"/>
        </w:rPr>
        <w:t xml:space="preserve"> (Ibid., 74, 76).</w:t>
      </w:r>
      <w:r w:rsidR="00D433D1">
        <w:rPr>
          <w:rFonts w:ascii="Times-Roman" w:hAnsi="Times-Roman" w:cs="Times-Roman"/>
          <w:sz w:val="13"/>
          <w:szCs w:val="13"/>
        </w:rPr>
        <w:t xml:space="preserve">  </w:t>
      </w:r>
      <w:r>
        <w:rPr>
          <w:rFonts w:ascii="Times-Roman" w:hAnsi="Times-Roman" w:cs="Times-Roman"/>
          <w:sz w:val="13"/>
          <w:szCs w:val="13"/>
        </w:rPr>
        <w:t xml:space="preserve"> </w:t>
      </w:r>
      <w:r>
        <w:rPr>
          <w:rFonts w:ascii="Times-Roman" w:hAnsi="Times-Roman" w:cs="Times-Roman"/>
          <w:sz w:val="22"/>
          <w:szCs w:val="22"/>
        </w:rPr>
        <w:t>Yet any theorist arrives at the data not only with a large set</w:t>
      </w:r>
      <w:r w:rsidR="009F4E6A">
        <w:rPr>
          <w:rFonts w:ascii="Times-Roman" w:hAnsi="Times-Roman" w:cs="Times-Roman"/>
          <w:sz w:val="22"/>
          <w:szCs w:val="22"/>
        </w:rPr>
        <w:t xml:space="preserve"> </w:t>
      </w:r>
      <w:r>
        <w:rPr>
          <w:rFonts w:ascii="Times-Roman" w:hAnsi="Times-Roman" w:cs="Times-Roman"/>
          <w:sz w:val="22"/>
          <w:szCs w:val="22"/>
        </w:rPr>
        <w:t>of “data-background’ beliefs, but with “control beliefs” about, for example, the</w:t>
      </w:r>
      <w:r w:rsidR="009F4E6A">
        <w:rPr>
          <w:rFonts w:ascii="Times-Roman" w:hAnsi="Times-Roman" w:cs="Times-Roman"/>
          <w:sz w:val="22"/>
          <w:szCs w:val="22"/>
        </w:rPr>
        <w:t xml:space="preserve"> </w:t>
      </w:r>
      <w:r>
        <w:rPr>
          <w:rFonts w:ascii="Times-Roman" w:hAnsi="Times-Roman" w:cs="Times-Roman"/>
          <w:sz w:val="22"/>
          <w:szCs w:val="22"/>
        </w:rPr>
        <w:t>requisite logical or aesthetic structure of a theory</w:t>
      </w:r>
      <w:r w:rsidR="00D433D1">
        <w:rPr>
          <w:rFonts w:ascii="Times-Roman" w:hAnsi="Times-Roman" w:cs="Times-Roman"/>
          <w:sz w:val="22"/>
          <w:szCs w:val="22"/>
        </w:rPr>
        <w:t xml:space="preserve"> (</w:t>
      </w:r>
      <w:proofErr w:type="gramStart"/>
      <w:r w:rsidR="00D433D1">
        <w:rPr>
          <w:rFonts w:ascii="Times-Roman" w:hAnsi="Times-Roman" w:cs="Times-Roman"/>
          <w:sz w:val="22"/>
          <w:szCs w:val="22"/>
        </w:rPr>
        <w:t>Ibid.,</w:t>
      </w:r>
      <w:proofErr w:type="gramEnd"/>
      <w:r w:rsidR="00D433D1">
        <w:rPr>
          <w:rFonts w:ascii="Times-Roman" w:hAnsi="Times-Roman" w:cs="Times-Roman"/>
          <w:sz w:val="22"/>
          <w:szCs w:val="22"/>
        </w:rPr>
        <w:t xml:space="preserve"> 63)</w:t>
      </w:r>
      <w:r>
        <w:rPr>
          <w:rFonts w:ascii="Times-Roman" w:hAnsi="Times-Roman" w:cs="Times-Roman"/>
          <w:sz w:val="22"/>
          <w:szCs w:val="22"/>
        </w:rPr>
        <w:t>.</w:t>
      </w:r>
      <w:r w:rsidR="00D433D1">
        <w:rPr>
          <w:rFonts w:ascii="Times-Roman" w:hAnsi="Times-Roman" w:cs="Times-Roman"/>
          <w:sz w:val="13"/>
          <w:szCs w:val="13"/>
        </w:rPr>
        <w:t xml:space="preserve">  </w:t>
      </w:r>
      <w:r>
        <w:rPr>
          <w:rFonts w:ascii="Times-Roman" w:hAnsi="Times-Roman" w:cs="Times-Roman"/>
          <w:sz w:val="13"/>
          <w:szCs w:val="13"/>
        </w:rPr>
        <w:t xml:space="preserve"> </w:t>
      </w:r>
      <w:r>
        <w:rPr>
          <w:rFonts w:ascii="Times-Roman" w:hAnsi="Times-Roman" w:cs="Times-Roman"/>
          <w:sz w:val="22"/>
          <w:szCs w:val="22"/>
        </w:rPr>
        <w:t>Religious beliefs function</w:t>
      </w:r>
      <w:r w:rsidR="009F4E6A">
        <w:rPr>
          <w:rFonts w:ascii="Times-Roman" w:hAnsi="Times-Roman" w:cs="Times-Roman"/>
          <w:sz w:val="22"/>
          <w:szCs w:val="22"/>
        </w:rPr>
        <w:t xml:space="preserve"> </w:t>
      </w:r>
      <w:r>
        <w:rPr>
          <w:rFonts w:ascii="Times-Roman" w:hAnsi="Times-Roman" w:cs="Times-Roman"/>
          <w:sz w:val="22"/>
          <w:szCs w:val="22"/>
        </w:rPr>
        <w:t>as control beliefs, which might lead the theorist to reject some theories or to</w:t>
      </w:r>
      <w:r w:rsidR="009F4E6A">
        <w:rPr>
          <w:rFonts w:ascii="Times-Roman" w:hAnsi="Times-Roman" w:cs="Times-Roman"/>
          <w:sz w:val="22"/>
          <w:szCs w:val="22"/>
        </w:rPr>
        <w:t xml:space="preserve"> </w:t>
      </w:r>
      <w:r>
        <w:rPr>
          <w:rFonts w:ascii="Times-Roman" w:hAnsi="Times-Roman" w:cs="Times-Roman"/>
          <w:sz w:val="22"/>
          <w:szCs w:val="22"/>
        </w:rPr>
        <w:t>devise theories consistent with the theories of others</w:t>
      </w:r>
      <w:r w:rsidR="00D433D1">
        <w:rPr>
          <w:rFonts w:ascii="Times-Roman" w:hAnsi="Times-Roman" w:cs="Times-Roman"/>
          <w:sz w:val="22"/>
          <w:szCs w:val="22"/>
        </w:rPr>
        <w:t xml:space="preserve"> (</w:t>
      </w:r>
      <w:proofErr w:type="gramStart"/>
      <w:r w:rsidR="00D433D1">
        <w:rPr>
          <w:rFonts w:ascii="Times-Roman" w:hAnsi="Times-Roman" w:cs="Times-Roman"/>
          <w:sz w:val="22"/>
          <w:szCs w:val="22"/>
        </w:rPr>
        <w:t>Ibid.,</w:t>
      </w:r>
      <w:proofErr w:type="gramEnd"/>
      <w:r w:rsidR="00D433D1">
        <w:rPr>
          <w:rFonts w:ascii="Times-Roman" w:hAnsi="Times-Roman" w:cs="Times-Roman"/>
          <w:sz w:val="22"/>
          <w:szCs w:val="22"/>
        </w:rPr>
        <w:t xml:space="preserve"> 64, 66)</w:t>
      </w:r>
      <w:r>
        <w:rPr>
          <w:rFonts w:ascii="Times-Roman" w:hAnsi="Times-Roman" w:cs="Times-Roman"/>
          <w:sz w:val="22"/>
          <w:szCs w:val="22"/>
        </w:rPr>
        <w:t>.</w:t>
      </w:r>
      <w:r w:rsidR="00D433D1">
        <w:rPr>
          <w:rFonts w:ascii="Times-Roman" w:hAnsi="Times-Roman" w:cs="Times-Roman"/>
          <w:sz w:val="13"/>
          <w:szCs w:val="13"/>
        </w:rPr>
        <w:t xml:space="preserve">  </w:t>
      </w:r>
      <w:r>
        <w:rPr>
          <w:rFonts w:ascii="Times-Roman" w:hAnsi="Times-Roman" w:cs="Times-Roman"/>
          <w:sz w:val="13"/>
          <w:szCs w:val="13"/>
        </w:rPr>
        <w:t xml:space="preserve"> </w:t>
      </w:r>
      <w:r>
        <w:rPr>
          <w:rFonts w:ascii="Times-Roman" w:hAnsi="Times-Roman" w:cs="Times-Roman"/>
          <w:sz w:val="22"/>
          <w:szCs w:val="22"/>
        </w:rPr>
        <w:t>While the control</w:t>
      </w:r>
      <w:r w:rsidR="009F4E6A">
        <w:rPr>
          <w:rFonts w:ascii="Times-Roman" w:hAnsi="Times-Roman" w:cs="Times-Roman"/>
          <w:sz w:val="22"/>
          <w:szCs w:val="22"/>
        </w:rPr>
        <w:t xml:space="preserve"> </w:t>
      </w:r>
      <w:r>
        <w:rPr>
          <w:rFonts w:ascii="Times-Roman" w:hAnsi="Times-Roman" w:cs="Times-Roman"/>
          <w:sz w:val="22"/>
          <w:szCs w:val="22"/>
        </w:rPr>
        <w:t>beliefs resulting from an authentic Christian commitment are “relative to persons</w:t>
      </w:r>
      <w:r w:rsidR="009F4E6A">
        <w:rPr>
          <w:rFonts w:ascii="Times-Roman" w:hAnsi="Times-Roman" w:cs="Times-Roman"/>
          <w:sz w:val="22"/>
          <w:szCs w:val="22"/>
        </w:rPr>
        <w:t xml:space="preserve"> </w:t>
      </w:r>
      <w:r>
        <w:rPr>
          <w:rFonts w:ascii="Times-Roman" w:hAnsi="Times-Roman" w:cs="Times-Roman"/>
          <w:sz w:val="22"/>
          <w:szCs w:val="22"/>
        </w:rPr>
        <w:t>and to times,” certain beliefs typically arise from being a follower of</w:t>
      </w:r>
      <w:r w:rsidR="009F4E6A">
        <w:rPr>
          <w:rFonts w:ascii="Times-Roman" w:hAnsi="Times-Roman" w:cs="Times-Roman"/>
          <w:sz w:val="22"/>
          <w:szCs w:val="22"/>
        </w:rPr>
        <w:t xml:space="preserve"> </w:t>
      </w:r>
      <w:r>
        <w:rPr>
          <w:rFonts w:ascii="Times-Roman" w:hAnsi="Times-Roman" w:cs="Times-Roman"/>
          <w:sz w:val="22"/>
          <w:szCs w:val="22"/>
        </w:rPr>
        <w:t>Christ, including a belief in human freedom and responsibility</w:t>
      </w:r>
      <w:r w:rsidR="00D433D1">
        <w:rPr>
          <w:rFonts w:ascii="Times-Roman" w:hAnsi="Times-Roman" w:cs="Times-Roman"/>
          <w:sz w:val="22"/>
          <w:szCs w:val="22"/>
        </w:rPr>
        <w:t xml:space="preserve"> (Ibid. 68, 70, 73)</w:t>
      </w:r>
      <w:r>
        <w:rPr>
          <w:rFonts w:ascii="Times-Roman" w:hAnsi="Times-Roman" w:cs="Times-Roman"/>
          <w:sz w:val="22"/>
          <w:szCs w:val="22"/>
        </w:rPr>
        <w:t>.</w:t>
      </w:r>
      <w:r w:rsidR="00D433D1">
        <w:rPr>
          <w:rFonts w:ascii="Times-Roman" w:hAnsi="Times-Roman" w:cs="Times-Roman"/>
          <w:sz w:val="13"/>
          <w:szCs w:val="13"/>
        </w:rPr>
        <w:t xml:space="preserve">  </w:t>
      </w:r>
      <w:r>
        <w:rPr>
          <w:rFonts w:ascii="Times-Roman" w:hAnsi="Times-Roman" w:cs="Times-Roman"/>
          <w:sz w:val="22"/>
          <w:szCs w:val="22"/>
        </w:rPr>
        <w:t>And because</w:t>
      </w:r>
      <w:r w:rsidR="009F4E6A">
        <w:rPr>
          <w:rFonts w:ascii="Times-Roman" w:hAnsi="Times-Roman" w:cs="Times-Roman"/>
          <w:sz w:val="22"/>
          <w:szCs w:val="22"/>
        </w:rPr>
        <w:t xml:space="preserve"> </w:t>
      </w:r>
      <w:r>
        <w:rPr>
          <w:rFonts w:ascii="Times-Roman" w:hAnsi="Times-Roman" w:cs="Times-Roman"/>
          <w:sz w:val="22"/>
          <w:szCs w:val="22"/>
        </w:rPr>
        <w:t>theoretical disputes exist among Christian theorists, one cannot simply claim</w:t>
      </w:r>
      <w:r w:rsidR="009F4E6A">
        <w:rPr>
          <w:rFonts w:ascii="Times-Roman" w:hAnsi="Times-Roman" w:cs="Times-Roman"/>
          <w:sz w:val="22"/>
          <w:szCs w:val="22"/>
        </w:rPr>
        <w:t xml:space="preserve"> </w:t>
      </w:r>
      <w:r>
        <w:rPr>
          <w:rFonts w:ascii="Times-Roman" w:hAnsi="Times-Roman" w:cs="Times-Roman"/>
          <w:sz w:val="22"/>
          <w:szCs w:val="22"/>
        </w:rPr>
        <w:t>that “the reason I hold this view is I’m a Christian.” Theory entails going</w:t>
      </w:r>
      <w:r w:rsidR="009F4E6A">
        <w:rPr>
          <w:rFonts w:ascii="Times-Roman" w:hAnsi="Times-Roman" w:cs="Times-Roman"/>
          <w:sz w:val="22"/>
          <w:szCs w:val="22"/>
        </w:rPr>
        <w:t xml:space="preserve"> </w:t>
      </w:r>
      <w:r>
        <w:rPr>
          <w:rFonts w:ascii="Times-Roman" w:hAnsi="Times-Roman" w:cs="Times-Roman"/>
          <w:sz w:val="22"/>
          <w:szCs w:val="22"/>
        </w:rPr>
        <w:t>beyond and doing something with beliefs, including not only collecting data and</w:t>
      </w:r>
      <w:r w:rsidR="009F4E6A">
        <w:rPr>
          <w:rFonts w:ascii="Times-Roman" w:hAnsi="Times-Roman" w:cs="Times-Roman"/>
          <w:sz w:val="22"/>
          <w:szCs w:val="22"/>
        </w:rPr>
        <w:t xml:space="preserve"> </w:t>
      </w:r>
      <w:r>
        <w:rPr>
          <w:rFonts w:ascii="Times-Roman" w:hAnsi="Times-Roman" w:cs="Times-Roman"/>
          <w:sz w:val="22"/>
          <w:szCs w:val="22"/>
        </w:rPr>
        <w:t xml:space="preserve">proposing an explanatory </w:t>
      </w:r>
      <w:r w:rsidR="00386DC9">
        <w:rPr>
          <w:rFonts w:ascii="Times-Roman" w:hAnsi="Times-Roman" w:cs="Times-Roman"/>
          <w:sz w:val="22"/>
          <w:szCs w:val="22"/>
        </w:rPr>
        <w:t>framework, but also revising one’s</w:t>
      </w:r>
      <w:r>
        <w:rPr>
          <w:rFonts w:ascii="Times-Roman" w:hAnsi="Times-Roman" w:cs="Times-Roman"/>
          <w:sz w:val="22"/>
          <w:szCs w:val="22"/>
        </w:rPr>
        <w:t xml:space="preserve"> views, harmonizing</w:t>
      </w:r>
      <w:r w:rsidR="009F4E6A">
        <w:rPr>
          <w:rFonts w:ascii="Times-Roman" w:hAnsi="Times-Roman" w:cs="Times-Roman"/>
          <w:sz w:val="22"/>
          <w:szCs w:val="22"/>
        </w:rPr>
        <w:t xml:space="preserve"> </w:t>
      </w:r>
      <w:r w:rsidR="00386DC9">
        <w:rPr>
          <w:rFonts w:ascii="Times-Roman" w:hAnsi="Times-Roman" w:cs="Times-Roman"/>
          <w:sz w:val="22"/>
          <w:szCs w:val="22"/>
        </w:rPr>
        <w:t>one’s</w:t>
      </w:r>
      <w:r>
        <w:rPr>
          <w:rFonts w:ascii="Times-Roman" w:hAnsi="Times-Roman" w:cs="Times-Roman"/>
          <w:sz w:val="22"/>
          <w:szCs w:val="22"/>
        </w:rPr>
        <w:t xml:space="preserve"> views with other compelling views (even those of non-Christians), and</w:t>
      </w:r>
      <w:r w:rsidR="009F4E6A">
        <w:rPr>
          <w:rFonts w:ascii="Times-Roman" w:hAnsi="Times-Roman" w:cs="Times-Roman"/>
          <w:sz w:val="22"/>
          <w:szCs w:val="22"/>
        </w:rPr>
        <w:t xml:space="preserve"> </w:t>
      </w:r>
      <w:r w:rsidR="00386DC9">
        <w:rPr>
          <w:rFonts w:ascii="Times-Roman" w:hAnsi="Times-Roman" w:cs="Times-Roman"/>
          <w:sz w:val="22"/>
          <w:szCs w:val="22"/>
        </w:rPr>
        <w:t>applying one’s</w:t>
      </w:r>
      <w:r>
        <w:rPr>
          <w:rFonts w:ascii="Times-Roman" w:hAnsi="Times-Roman" w:cs="Times-Roman"/>
          <w:sz w:val="22"/>
          <w:szCs w:val="22"/>
        </w:rPr>
        <w:t xml:space="preserve"> own and others’ theories for Christian ends</w:t>
      </w:r>
      <w:r w:rsidR="00D433D1">
        <w:rPr>
          <w:rFonts w:ascii="Times-Roman" w:hAnsi="Times-Roman" w:cs="Times-Roman"/>
          <w:sz w:val="22"/>
          <w:szCs w:val="22"/>
        </w:rPr>
        <w:t xml:space="preserve"> (Ibid., 75-76). </w:t>
      </w:r>
      <w:r>
        <w:rPr>
          <w:rFonts w:ascii="Times-Roman" w:hAnsi="Times-Roman" w:cs="Times-Roman"/>
          <w:sz w:val="13"/>
          <w:szCs w:val="13"/>
        </w:rPr>
        <w:t xml:space="preserve"> </w:t>
      </w:r>
      <w:r>
        <w:rPr>
          <w:rFonts w:ascii="Times-Roman" w:hAnsi="Times-Roman" w:cs="Times-Roman"/>
          <w:sz w:val="22"/>
          <w:szCs w:val="22"/>
        </w:rPr>
        <w:t>The point is that</w:t>
      </w:r>
      <w:r w:rsidR="009F4E6A">
        <w:rPr>
          <w:rFonts w:ascii="Times-Roman" w:hAnsi="Times-Roman" w:cs="Times-Roman"/>
          <w:sz w:val="22"/>
          <w:szCs w:val="22"/>
        </w:rPr>
        <w:t xml:space="preserve"> </w:t>
      </w:r>
      <w:r>
        <w:rPr>
          <w:rFonts w:ascii="Times-Roman" w:hAnsi="Times-Roman" w:cs="Times-Roman"/>
          <w:sz w:val="22"/>
          <w:szCs w:val="22"/>
        </w:rPr>
        <w:t>Christian theory looks like theory generally, with the distinction that the control</w:t>
      </w:r>
      <w:r w:rsidR="009F4E6A">
        <w:rPr>
          <w:rFonts w:ascii="Times-Roman" w:hAnsi="Times-Roman" w:cs="Times-Roman"/>
          <w:sz w:val="22"/>
          <w:szCs w:val="22"/>
        </w:rPr>
        <w:t xml:space="preserve"> </w:t>
      </w:r>
      <w:r>
        <w:rPr>
          <w:rFonts w:ascii="Times-Roman" w:hAnsi="Times-Roman" w:cs="Times-Roman"/>
          <w:sz w:val="22"/>
          <w:szCs w:val="22"/>
        </w:rPr>
        <w:t>beliefs of Christians will not all be shared by all other people.</w:t>
      </w:r>
    </w:p>
    <w:p w14:paraId="66715F05" w14:textId="77777777" w:rsidR="00B16B2F" w:rsidRDefault="00B16B2F" w:rsidP="009F4E6A">
      <w:pPr>
        <w:autoSpaceDE w:val="0"/>
        <w:autoSpaceDN w:val="0"/>
        <w:adjustRightInd w:val="0"/>
        <w:rPr>
          <w:rFonts w:ascii="Times-Roman" w:hAnsi="Times-Roman" w:cs="Times-Roman"/>
          <w:sz w:val="17"/>
          <w:szCs w:val="17"/>
        </w:rPr>
      </w:pPr>
    </w:p>
    <w:p w14:paraId="66715F06" w14:textId="77777777" w:rsidR="00B16B2F" w:rsidRDefault="00B16B2F" w:rsidP="009F4E6A">
      <w:pPr>
        <w:rPr>
          <w:rFonts w:ascii="Times-Roman" w:hAnsi="Times-Roman" w:cs="Times-Roman"/>
          <w:sz w:val="17"/>
          <w:szCs w:val="17"/>
        </w:rPr>
      </w:pPr>
    </w:p>
    <w:p w14:paraId="66715F07" w14:textId="77777777" w:rsidR="00D433D1" w:rsidRDefault="00B16B2F" w:rsidP="009F4E6A">
      <w:pPr>
        <w:autoSpaceDE w:val="0"/>
        <w:autoSpaceDN w:val="0"/>
        <w:adjustRightInd w:val="0"/>
        <w:ind w:firstLine="720"/>
        <w:jc w:val="both"/>
        <w:rPr>
          <w:rFonts w:ascii="Times-Roman" w:hAnsi="Times-Roman" w:cs="Times-Roman"/>
          <w:sz w:val="22"/>
          <w:szCs w:val="22"/>
        </w:rPr>
      </w:pPr>
      <w:r>
        <w:rPr>
          <w:rFonts w:ascii="Times-Roman" w:hAnsi="Times-Roman" w:cs="Times-Roman"/>
          <w:sz w:val="22"/>
          <w:szCs w:val="22"/>
        </w:rPr>
        <w:t xml:space="preserve">What can we conclude? First, Christian legal theory is neither necessarily theocratic nor </w:t>
      </w:r>
    </w:p>
    <w:p w14:paraId="66715F08" w14:textId="77777777" w:rsidR="00B16B2F" w:rsidRDefault="00B16B2F" w:rsidP="009F4E6A">
      <w:pPr>
        <w:autoSpaceDE w:val="0"/>
        <w:autoSpaceDN w:val="0"/>
        <w:adjustRightInd w:val="0"/>
        <w:jc w:val="both"/>
        <w:rPr>
          <w:rFonts w:ascii="Times-Roman" w:hAnsi="Times-Roman" w:cs="Times-Roman"/>
          <w:sz w:val="22"/>
          <w:szCs w:val="22"/>
        </w:rPr>
      </w:pPr>
      <w:proofErr w:type="gramStart"/>
      <w:r>
        <w:rPr>
          <w:rFonts w:ascii="Times-Roman" w:hAnsi="Times-Roman" w:cs="Times-Roman"/>
          <w:sz w:val="22"/>
          <w:szCs w:val="22"/>
        </w:rPr>
        <w:t>based</w:t>
      </w:r>
      <w:proofErr w:type="gramEnd"/>
      <w:r w:rsidR="00D433D1">
        <w:rPr>
          <w:rFonts w:ascii="Times-Roman" w:hAnsi="Times-Roman" w:cs="Times-Roman"/>
          <w:sz w:val="22"/>
          <w:szCs w:val="22"/>
        </w:rPr>
        <w:t xml:space="preserve"> </w:t>
      </w:r>
      <w:r>
        <w:rPr>
          <w:rFonts w:ascii="Times-Roman" w:hAnsi="Times-Roman" w:cs="Times-Roman"/>
          <w:sz w:val="22"/>
          <w:szCs w:val="22"/>
        </w:rPr>
        <w:t xml:space="preserve">on the </w:t>
      </w:r>
      <w:proofErr w:type="spellStart"/>
      <w:r>
        <w:rPr>
          <w:rFonts w:ascii="Times-Roman" w:hAnsi="Times-Roman" w:cs="Times-Roman"/>
          <w:sz w:val="22"/>
          <w:szCs w:val="22"/>
        </w:rPr>
        <w:t>positivisation</w:t>
      </w:r>
      <w:proofErr w:type="spellEnd"/>
      <w:r>
        <w:rPr>
          <w:rFonts w:ascii="Times-Roman" w:hAnsi="Times-Roman" w:cs="Times-Roman"/>
          <w:sz w:val="22"/>
          <w:szCs w:val="22"/>
        </w:rPr>
        <w:t xml:space="preserve"> of scripture into law—</w:t>
      </w:r>
      <w:proofErr w:type="spellStart"/>
      <w:r>
        <w:rPr>
          <w:rFonts w:ascii="Times-Roman" w:hAnsi="Times-Roman" w:cs="Times-Roman"/>
          <w:sz w:val="22"/>
          <w:szCs w:val="22"/>
        </w:rPr>
        <w:t>Dooyeweerd</w:t>
      </w:r>
      <w:proofErr w:type="spellEnd"/>
      <w:r>
        <w:rPr>
          <w:rFonts w:ascii="Times-Roman" w:hAnsi="Times-Roman" w:cs="Times-Roman"/>
          <w:sz w:val="22"/>
          <w:szCs w:val="22"/>
        </w:rPr>
        <w:t xml:space="preserve"> is a pluralist, and the</w:t>
      </w:r>
      <w:r w:rsidR="009F4E6A">
        <w:rPr>
          <w:rFonts w:ascii="Times-Roman" w:hAnsi="Times-Roman" w:cs="Times-Roman"/>
          <w:sz w:val="22"/>
          <w:szCs w:val="22"/>
        </w:rPr>
        <w:t xml:space="preserve"> </w:t>
      </w:r>
      <w:r>
        <w:rPr>
          <w:rFonts w:ascii="Times-Roman" w:hAnsi="Times-Roman" w:cs="Times-Roman"/>
          <w:sz w:val="22"/>
          <w:szCs w:val="22"/>
        </w:rPr>
        <w:t>scriptures function at the level of control beliefs. Second, Christian legal theory</w:t>
      </w:r>
      <w:r w:rsidR="009F4E6A">
        <w:rPr>
          <w:rFonts w:ascii="Times-Roman" w:hAnsi="Times-Roman" w:cs="Times-Roman"/>
          <w:sz w:val="22"/>
          <w:szCs w:val="22"/>
        </w:rPr>
        <w:t xml:space="preserve"> </w:t>
      </w:r>
      <w:r>
        <w:rPr>
          <w:rFonts w:ascii="Times-Roman" w:hAnsi="Times-Roman" w:cs="Times-Roman"/>
          <w:sz w:val="22"/>
          <w:szCs w:val="22"/>
        </w:rPr>
        <w:t>may be unique insofar as it is grounded in Christian belief, but it is not unique</w:t>
      </w:r>
      <w:r w:rsidR="009F4E6A">
        <w:rPr>
          <w:rFonts w:ascii="Times-Roman" w:hAnsi="Times-Roman" w:cs="Times-Roman"/>
          <w:sz w:val="22"/>
          <w:szCs w:val="22"/>
        </w:rPr>
        <w:t xml:space="preserve"> </w:t>
      </w:r>
      <w:r>
        <w:rPr>
          <w:rFonts w:ascii="Times-Roman" w:hAnsi="Times-Roman" w:cs="Times-Roman"/>
          <w:sz w:val="22"/>
          <w:szCs w:val="22"/>
        </w:rPr>
        <w:t>in methodological terms—legal theory always proceeds from pre-suppositions</w:t>
      </w:r>
      <w:r w:rsidR="009F4E6A">
        <w:rPr>
          <w:rFonts w:ascii="Times-Roman" w:hAnsi="Times-Roman" w:cs="Times-Roman"/>
          <w:sz w:val="22"/>
          <w:szCs w:val="22"/>
        </w:rPr>
        <w:t xml:space="preserve"> </w:t>
      </w:r>
      <w:r>
        <w:rPr>
          <w:rFonts w:ascii="Times-Roman" w:hAnsi="Times-Roman" w:cs="Times-Roman"/>
          <w:sz w:val="22"/>
          <w:szCs w:val="22"/>
        </w:rPr>
        <w:t>that are ideological, value-laden, and “faith-like.” And third, therefore, Christian</w:t>
      </w:r>
      <w:r w:rsidR="009F4E6A">
        <w:rPr>
          <w:rFonts w:ascii="Times-Roman" w:hAnsi="Times-Roman" w:cs="Times-Roman"/>
          <w:sz w:val="22"/>
          <w:szCs w:val="22"/>
        </w:rPr>
        <w:t xml:space="preserve"> </w:t>
      </w:r>
      <w:r>
        <w:rPr>
          <w:rFonts w:ascii="Times-Roman" w:hAnsi="Times-Roman" w:cs="Times-Roman"/>
          <w:sz w:val="22"/>
          <w:szCs w:val="22"/>
        </w:rPr>
        <w:t>legal theory is not uniquely biased or sectarian—it may not be compelling, and</w:t>
      </w:r>
      <w:r w:rsidR="009F4E6A">
        <w:rPr>
          <w:rFonts w:ascii="Times-Roman" w:hAnsi="Times-Roman" w:cs="Times-Roman"/>
          <w:sz w:val="22"/>
          <w:szCs w:val="22"/>
        </w:rPr>
        <w:t xml:space="preserve"> </w:t>
      </w:r>
      <w:r>
        <w:rPr>
          <w:rFonts w:ascii="Times-Roman" w:hAnsi="Times-Roman" w:cs="Times-Roman"/>
          <w:sz w:val="22"/>
          <w:szCs w:val="22"/>
        </w:rPr>
        <w:t>it is vulnerable to criticism for any over-generalizations or over-simplifications,</w:t>
      </w:r>
      <w:r w:rsidR="009F4E6A">
        <w:rPr>
          <w:rFonts w:ascii="Times-Roman" w:hAnsi="Times-Roman" w:cs="Times-Roman"/>
          <w:sz w:val="22"/>
          <w:szCs w:val="22"/>
        </w:rPr>
        <w:t xml:space="preserve"> </w:t>
      </w:r>
      <w:r>
        <w:rPr>
          <w:rFonts w:ascii="Times-Roman" w:hAnsi="Times-Roman" w:cs="Times-Roman"/>
          <w:sz w:val="22"/>
          <w:szCs w:val="22"/>
        </w:rPr>
        <w:t>but those potential problems accompany any legal theory. In short, Christian</w:t>
      </w:r>
      <w:r w:rsidR="009F4E6A">
        <w:rPr>
          <w:rFonts w:ascii="Times-Roman" w:hAnsi="Times-Roman" w:cs="Times-Roman"/>
          <w:sz w:val="22"/>
          <w:szCs w:val="22"/>
        </w:rPr>
        <w:t xml:space="preserve"> </w:t>
      </w:r>
      <w:r>
        <w:rPr>
          <w:rFonts w:ascii="Times-Roman" w:hAnsi="Times-Roman" w:cs="Times-Roman"/>
          <w:sz w:val="22"/>
          <w:szCs w:val="22"/>
        </w:rPr>
        <w:t xml:space="preserve">legal theory is in </w:t>
      </w:r>
      <w:proofErr w:type="spellStart"/>
      <w:r>
        <w:rPr>
          <w:rFonts w:ascii="Times-Roman" w:hAnsi="Times-Roman" w:cs="Times-Roman"/>
          <w:sz w:val="22"/>
          <w:szCs w:val="22"/>
        </w:rPr>
        <w:t>Dooyeweerd’s</w:t>
      </w:r>
      <w:proofErr w:type="spellEnd"/>
      <w:r>
        <w:rPr>
          <w:rFonts w:ascii="Times-Roman" w:hAnsi="Times-Roman" w:cs="Times-Roman"/>
          <w:sz w:val="22"/>
          <w:szCs w:val="22"/>
        </w:rPr>
        <w:t xml:space="preserve"> case just another theory.</w:t>
      </w:r>
    </w:p>
    <w:p w14:paraId="66715F09" w14:textId="77777777" w:rsidR="00B16B2F" w:rsidRDefault="00B16B2F" w:rsidP="009F4E6A">
      <w:pPr>
        <w:rPr>
          <w:rFonts w:ascii="Times-Roman" w:hAnsi="Times-Roman" w:cs="Times-Roman"/>
          <w:sz w:val="22"/>
          <w:szCs w:val="22"/>
        </w:rPr>
      </w:pPr>
    </w:p>
    <w:p w14:paraId="66715F0A" w14:textId="77777777" w:rsidR="00B16B2F" w:rsidRDefault="00B16B2F" w:rsidP="009F4E6A">
      <w:pPr>
        <w:rPr>
          <w:rFonts w:ascii="Times-Roman" w:hAnsi="Times-Roman" w:cs="Times-Roman"/>
          <w:sz w:val="22"/>
          <w:szCs w:val="22"/>
        </w:rPr>
      </w:pPr>
    </w:p>
    <w:p w14:paraId="66715F0B" w14:textId="77777777" w:rsidR="00B16B2F" w:rsidRDefault="00B16B2F" w:rsidP="009F4E6A">
      <w:pPr>
        <w:rPr>
          <w:rFonts w:ascii="Times-Roman" w:hAnsi="Times-Roman" w:cs="Times-Roman"/>
          <w:sz w:val="22"/>
          <w:szCs w:val="22"/>
        </w:rPr>
      </w:pPr>
    </w:p>
    <w:p w14:paraId="66715F0C" w14:textId="77777777" w:rsidR="00E95F89" w:rsidRPr="00AF4676" w:rsidRDefault="00E95F89" w:rsidP="009B5697">
      <w:pPr>
        <w:jc w:val="both"/>
        <w:rPr>
          <w:sz w:val="22"/>
        </w:rPr>
      </w:pPr>
    </w:p>
    <w:p w14:paraId="66715F0D" w14:textId="77777777" w:rsidR="000A7F24" w:rsidRPr="003F32F6" w:rsidRDefault="000A7F24" w:rsidP="000A7F24">
      <w:pPr>
        <w:spacing w:before="100" w:beforeAutospacing="1" w:after="100" w:afterAutospacing="1"/>
        <w:outlineLvl w:val="1"/>
        <w:rPr>
          <w:b/>
          <w:bCs/>
          <w:sz w:val="36"/>
          <w:szCs w:val="36"/>
        </w:rPr>
      </w:pPr>
      <w:r w:rsidRPr="003F32F6">
        <w:rPr>
          <w:b/>
          <w:bCs/>
          <w:sz w:val="36"/>
          <w:szCs w:val="36"/>
        </w:rPr>
        <w:lastRenderedPageBreak/>
        <w:t xml:space="preserve">REFERENCES </w:t>
      </w:r>
    </w:p>
    <w:p w14:paraId="66715F0E" w14:textId="77777777" w:rsidR="00215679" w:rsidRDefault="00E95F89" w:rsidP="000A7F24">
      <w:pPr>
        <w:jc w:val="both"/>
        <w:rPr>
          <w:i/>
          <w:iCs/>
          <w:sz w:val="22"/>
        </w:rPr>
      </w:pPr>
      <w:proofErr w:type="spellStart"/>
      <w:r w:rsidRPr="00AF4676">
        <w:rPr>
          <w:sz w:val="22"/>
        </w:rPr>
        <w:t>Dooyeweerd</w:t>
      </w:r>
      <w:proofErr w:type="spellEnd"/>
      <w:r w:rsidRPr="00AF4676">
        <w:rPr>
          <w:sz w:val="22"/>
        </w:rPr>
        <w:t xml:space="preserve">, Herman.  </w:t>
      </w:r>
      <w:proofErr w:type="gramStart"/>
      <w:r w:rsidRPr="00AF4676">
        <w:rPr>
          <w:sz w:val="22"/>
        </w:rPr>
        <w:t>“Calvinism and Natural Law.”</w:t>
      </w:r>
      <w:proofErr w:type="gramEnd"/>
      <w:r w:rsidRPr="00AF4676">
        <w:rPr>
          <w:sz w:val="22"/>
        </w:rPr>
        <w:t xml:space="preserve">  Trans. A. Wolters.  In </w:t>
      </w:r>
      <w:r w:rsidRPr="00AF4676">
        <w:rPr>
          <w:i/>
          <w:iCs/>
          <w:sz w:val="22"/>
        </w:rPr>
        <w:t>Essays in Legal</w:t>
      </w:r>
      <w:r w:rsidRPr="00AF4676">
        <w:rPr>
          <w:sz w:val="22"/>
        </w:rPr>
        <w:t>,</w:t>
      </w:r>
      <w:r w:rsidRPr="00AF4676">
        <w:rPr>
          <w:i/>
          <w:iCs/>
          <w:sz w:val="22"/>
        </w:rPr>
        <w:t xml:space="preserve"> </w:t>
      </w:r>
    </w:p>
    <w:p w14:paraId="66715F0F" w14:textId="77777777" w:rsidR="00215679" w:rsidRDefault="00E95F89" w:rsidP="009B5697">
      <w:pPr>
        <w:ind w:left="720" w:hanging="720"/>
        <w:jc w:val="both"/>
        <w:rPr>
          <w:sz w:val="22"/>
        </w:rPr>
      </w:pPr>
      <w:proofErr w:type="gramStart"/>
      <w:r w:rsidRPr="00AF4676">
        <w:rPr>
          <w:i/>
          <w:iCs/>
          <w:sz w:val="22"/>
        </w:rPr>
        <w:t>Social and Political Philosophy.</w:t>
      </w:r>
      <w:proofErr w:type="gramEnd"/>
      <w:r w:rsidRPr="00AF4676">
        <w:rPr>
          <w:sz w:val="22"/>
        </w:rPr>
        <w:t xml:space="preserve">  </w:t>
      </w:r>
      <w:proofErr w:type="gramStart"/>
      <w:r w:rsidRPr="00AF4676">
        <w:rPr>
          <w:sz w:val="22"/>
        </w:rPr>
        <w:t>Eds. John Witte, Jr. &amp; Alan Cameron.</w:t>
      </w:r>
      <w:proofErr w:type="gramEnd"/>
      <w:r w:rsidRPr="00AF4676">
        <w:rPr>
          <w:sz w:val="22"/>
        </w:rPr>
        <w:t xml:space="preserve">  Lewiston: The Edwin </w:t>
      </w:r>
    </w:p>
    <w:p w14:paraId="66715F10" w14:textId="77777777" w:rsidR="00E95F89" w:rsidRPr="00AF4676" w:rsidRDefault="00E95F89" w:rsidP="009B5697">
      <w:pPr>
        <w:ind w:left="720" w:hanging="720"/>
        <w:jc w:val="both"/>
        <w:rPr>
          <w:sz w:val="22"/>
        </w:rPr>
      </w:pPr>
      <w:r w:rsidRPr="00AF4676">
        <w:rPr>
          <w:sz w:val="22"/>
        </w:rPr>
        <w:t>Mellon Press, 1996.</w:t>
      </w:r>
    </w:p>
    <w:p w14:paraId="66715F11" w14:textId="77777777" w:rsidR="00E95F89" w:rsidRPr="00AF4676" w:rsidRDefault="00E95F89" w:rsidP="009B5697">
      <w:pPr>
        <w:ind w:left="720" w:right="720"/>
        <w:jc w:val="both"/>
        <w:rPr>
          <w:sz w:val="22"/>
        </w:rPr>
      </w:pPr>
    </w:p>
    <w:p w14:paraId="66715F12" w14:textId="77777777" w:rsidR="00E95F89" w:rsidRPr="00AF4676" w:rsidRDefault="00E95F89" w:rsidP="00215679">
      <w:pPr>
        <w:jc w:val="both"/>
        <w:rPr>
          <w:sz w:val="22"/>
        </w:rPr>
      </w:pPr>
      <w:proofErr w:type="gramStart"/>
      <w:r w:rsidRPr="00AF4676">
        <w:rPr>
          <w:i/>
          <w:iCs/>
          <w:sz w:val="22"/>
        </w:rPr>
        <w:t xml:space="preserve">De </w:t>
      </w:r>
      <w:proofErr w:type="spellStart"/>
      <w:r w:rsidRPr="00AF4676">
        <w:rPr>
          <w:i/>
          <w:iCs/>
          <w:sz w:val="22"/>
        </w:rPr>
        <w:t>Wijsbegeerte</w:t>
      </w:r>
      <w:proofErr w:type="spellEnd"/>
      <w:r w:rsidRPr="00AF4676">
        <w:rPr>
          <w:i/>
          <w:iCs/>
          <w:sz w:val="22"/>
        </w:rPr>
        <w:t xml:space="preserve"> der </w:t>
      </w:r>
      <w:proofErr w:type="spellStart"/>
      <w:r w:rsidRPr="00AF4676">
        <w:rPr>
          <w:i/>
          <w:iCs/>
          <w:sz w:val="22"/>
        </w:rPr>
        <w:t>wetsidee</w:t>
      </w:r>
      <w:proofErr w:type="spellEnd"/>
      <w:r w:rsidRPr="00AF4676">
        <w:rPr>
          <w:sz w:val="22"/>
        </w:rPr>
        <w:t xml:space="preserve"> (3 vol.).</w:t>
      </w:r>
      <w:proofErr w:type="gramEnd"/>
      <w:r w:rsidRPr="00AF4676">
        <w:rPr>
          <w:sz w:val="22"/>
        </w:rPr>
        <w:t xml:space="preserve">  Amsterdam: H.J. Paris, 1935-36.</w:t>
      </w:r>
    </w:p>
    <w:p w14:paraId="66715F13" w14:textId="77777777" w:rsidR="00E95F89" w:rsidRPr="00AF4676" w:rsidRDefault="00E95F89" w:rsidP="009B5697">
      <w:pPr>
        <w:ind w:left="720" w:right="720"/>
        <w:jc w:val="both"/>
        <w:rPr>
          <w:i/>
          <w:iCs/>
          <w:sz w:val="22"/>
        </w:rPr>
      </w:pPr>
    </w:p>
    <w:p w14:paraId="66715F14" w14:textId="77777777" w:rsidR="00215679" w:rsidRDefault="00E95F89" w:rsidP="009B5697">
      <w:pPr>
        <w:ind w:left="720" w:hanging="720"/>
        <w:jc w:val="both"/>
        <w:rPr>
          <w:sz w:val="22"/>
        </w:rPr>
      </w:pPr>
      <w:r w:rsidRPr="00AF4676">
        <w:rPr>
          <w:i/>
          <w:iCs/>
          <w:sz w:val="22"/>
        </w:rPr>
        <w:t xml:space="preserve">A New Critique of Theoretical Thought </w:t>
      </w:r>
      <w:r w:rsidRPr="00AF4676">
        <w:rPr>
          <w:sz w:val="22"/>
        </w:rPr>
        <w:t xml:space="preserve">(4 vol.).  Philadelphia: Presbyterian and Reformed </w:t>
      </w:r>
    </w:p>
    <w:p w14:paraId="66715F15" w14:textId="77777777" w:rsidR="00E95F89" w:rsidRPr="00AF4676" w:rsidRDefault="00E95F89" w:rsidP="009B5697">
      <w:pPr>
        <w:ind w:left="720" w:hanging="720"/>
        <w:jc w:val="both"/>
        <w:rPr>
          <w:sz w:val="22"/>
        </w:rPr>
      </w:pPr>
      <w:proofErr w:type="gramStart"/>
      <w:r w:rsidRPr="00AF4676">
        <w:rPr>
          <w:sz w:val="22"/>
        </w:rPr>
        <w:t>Publishing Co., 1953-58.</w:t>
      </w:r>
      <w:proofErr w:type="gramEnd"/>
    </w:p>
    <w:p w14:paraId="66715F16" w14:textId="77777777" w:rsidR="00E95F89" w:rsidRPr="00AF4676" w:rsidRDefault="00E95F89" w:rsidP="009B5697">
      <w:pPr>
        <w:ind w:left="720" w:right="720"/>
        <w:jc w:val="both"/>
        <w:rPr>
          <w:i/>
          <w:iCs/>
          <w:sz w:val="22"/>
        </w:rPr>
      </w:pPr>
    </w:p>
    <w:p w14:paraId="66715F17" w14:textId="77777777" w:rsidR="00215679" w:rsidRDefault="00E95F89" w:rsidP="009B5697">
      <w:pPr>
        <w:ind w:left="720" w:hanging="720"/>
        <w:jc w:val="both"/>
        <w:rPr>
          <w:sz w:val="22"/>
        </w:rPr>
      </w:pPr>
      <w:proofErr w:type="gramStart"/>
      <w:r w:rsidRPr="00AF4676">
        <w:rPr>
          <w:i/>
          <w:iCs/>
          <w:sz w:val="22"/>
        </w:rPr>
        <w:t>Christian Philosophy and the Meaning of History</w:t>
      </w:r>
      <w:r w:rsidRPr="00AF4676">
        <w:rPr>
          <w:sz w:val="22"/>
        </w:rPr>
        <w:t>.</w:t>
      </w:r>
      <w:proofErr w:type="gramEnd"/>
      <w:r w:rsidRPr="00AF4676">
        <w:rPr>
          <w:sz w:val="22"/>
        </w:rPr>
        <w:t xml:space="preserve"> Trans. J. </w:t>
      </w:r>
      <w:proofErr w:type="spellStart"/>
      <w:r w:rsidRPr="00AF4676">
        <w:rPr>
          <w:sz w:val="22"/>
        </w:rPr>
        <w:t>V</w:t>
      </w:r>
      <w:r w:rsidR="00215679">
        <w:rPr>
          <w:sz w:val="22"/>
        </w:rPr>
        <w:t>riend</w:t>
      </w:r>
      <w:proofErr w:type="spellEnd"/>
      <w:r w:rsidR="00215679">
        <w:rPr>
          <w:sz w:val="22"/>
        </w:rPr>
        <w:t>.  Lewiston:  Edwin Mellon</w:t>
      </w:r>
    </w:p>
    <w:p w14:paraId="66715F18" w14:textId="77777777" w:rsidR="00E95F89" w:rsidRPr="00AF4676" w:rsidRDefault="00E95F89" w:rsidP="009B5697">
      <w:pPr>
        <w:ind w:left="720" w:hanging="720"/>
        <w:jc w:val="both"/>
        <w:rPr>
          <w:sz w:val="22"/>
        </w:rPr>
      </w:pPr>
      <w:proofErr w:type="gramStart"/>
      <w:r w:rsidRPr="00AF4676">
        <w:rPr>
          <w:sz w:val="22"/>
        </w:rPr>
        <w:t>Press, 1996.</w:t>
      </w:r>
      <w:proofErr w:type="gramEnd"/>
    </w:p>
    <w:p w14:paraId="66715F19" w14:textId="77777777" w:rsidR="00E95F89" w:rsidRPr="00AF4676" w:rsidRDefault="00E95F89" w:rsidP="009B5697">
      <w:pPr>
        <w:jc w:val="both"/>
        <w:rPr>
          <w:sz w:val="22"/>
        </w:rPr>
      </w:pPr>
    </w:p>
    <w:p w14:paraId="66715F1A" w14:textId="77777777" w:rsidR="00215679" w:rsidRDefault="00E95F89" w:rsidP="009B5697">
      <w:pPr>
        <w:ind w:left="720" w:hanging="720"/>
        <w:jc w:val="both"/>
        <w:rPr>
          <w:i/>
          <w:iCs/>
          <w:sz w:val="22"/>
        </w:rPr>
      </w:pPr>
      <w:r w:rsidRPr="00AF4676">
        <w:rPr>
          <w:sz w:val="22"/>
        </w:rPr>
        <w:t xml:space="preserve">Hart, </w:t>
      </w:r>
      <w:proofErr w:type="spellStart"/>
      <w:r w:rsidRPr="00AF4676">
        <w:rPr>
          <w:sz w:val="22"/>
        </w:rPr>
        <w:t>Hendrik</w:t>
      </w:r>
      <w:proofErr w:type="spellEnd"/>
      <w:r w:rsidRPr="00AF4676">
        <w:rPr>
          <w:sz w:val="22"/>
        </w:rPr>
        <w:t xml:space="preserve">. </w:t>
      </w:r>
      <w:proofErr w:type="gramStart"/>
      <w:r w:rsidRPr="00AF4676">
        <w:rPr>
          <w:sz w:val="22"/>
        </w:rPr>
        <w:t>“</w:t>
      </w:r>
      <w:proofErr w:type="spellStart"/>
      <w:r w:rsidRPr="00AF4676">
        <w:rPr>
          <w:sz w:val="22"/>
        </w:rPr>
        <w:t>Dooyeweerd’s</w:t>
      </w:r>
      <w:proofErr w:type="spellEnd"/>
      <w:r w:rsidRPr="00AF4676">
        <w:rPr>
          <w:sz w:val="22"/>
        </w:rPr>
        <w:t xml:space="preserve"> </w:t>
      </w:r>
      <w:proofErr w:type="spellStart"/>
      <w:r w:rsidRPr="00AF4676">
        <w:rPr>
          <w:sz w:val="22"/>
        </w:rPr>
        <w:t>Gegenstand</w:t>
      </w:r>
      <w:proofErr w:type="spellEnd"/>
      <w:r w:rsidRPr="00AF4676">
        <w:rPr>
          <w:sz w:val="22"/>
        </w:rPr>
        <w:t xml:space="preserve"> Theory of Theory.”</w:t>
      </w:r>
      <w:proofErr w:type="gramEnd"/>
      <w:r w:rsidRPr="00AF4676">
        <w:rPr>
          <w:sz w:val="22"/>
        </w:rPr>
        <w:t xml:space="preserve">  In </w:t>
      </w:r>
      <w:r w:rsidRPr="00AF4676">
        <w:rPr>
          <w:i/>
          <w:iCs/>
          <w:sz w:val="22"/>
        </w:rPr>
        <w:t xml:space="preserve">The Legacy of Herman </w:t>
      </w:r>
    </w:p>
    <w:p w14:paraId="66715F1B" w14:textId="77777777" w:rsidR="00215679" w:rsidRDefault="00E95F89" w:rsidP="009B5697">
      <w:pPr>
        <w:ind w:left="720" w:hanging="720"/>
        <w:jc w:val="both"/>
        <w:rPr>
          <w:sz w:val="22"/>
        </w:rPr>
      </w:pPr>
      <w:proofErr w:type="spellStart"/>
      <w:r w:rsidRPr="00AF4676">
        <w:rPr>
          <w:i/>
          <w:iCs/>
          <w:sz w:val="22"/>
        </w:rPr>
        <w:t>Dooyeweerd</w:t>
      </w:r>
      <w:proofErr w:type="spellEnd"/>
      <w:r w:rsidRPr="00AF4676">
        <w:rPr>
          <w:sz w:val="22"/>
        </w:rPr>
        <w:t xml:space="preserve">: </w:t>
      </w:r>
      <w:r w:rsidRPr="00AF4676">
        <w:rPr>
          <w:i/>
          <w:iCs/>
          <w:sz w:val="22"/>
        </w:rPr>
        <w:t xml:space="preserve">Reflection on critical philosophy in the Christian Tradition.  </w:t>
      </w:r>
      <w:proofErr w:type="gramStart"/>
      <w:r w:rsidRPr="00AF4676">
        <w:rPr>
          <w:sz w:val="22"/>
        </w:rPr>
        <w:t>Ed. C.T. McIntire.</w:t>
      </w:r>
      <w:proofErr w:type="gramEnd"/>
      <w:r w:rsidRPr="00AF4676">
        <w:rPr>
          <w:sz w:val="22"/>
        </w:rPr>
        <w:t xml:space="preserve">  </w:t>
      </w:r>
    </w:p>
    <w:p w14:paraId="66715F1C" w14:textId="77777777" w:rsidR="00E95F89" w:rsidRPr="00AF4676" w:rsidRDefault="00E95F89" w:rsidP="009B5697">
      <w:pPr>
        <w:ind w:left="720" w:hanging="720"/>
        <w:jc w:val="both"/>
        <w:rPr>
          <w:i/>
          <w:iCs/>
          <w:sz w:val="22"/>
        </w:rPr>
      </w:pPr>
      <w:r w:rsidRPr="00AF4676">
        <w:rPr>
          <w:sz w:val="22"/>
        </w:rPr>
        <w:t>Lanham: University Press of America, 1985.  Pp. 143-66.</w:t>
      </w:r>
    </w:p>
    <w:p w14:paraId="66715F1D" w14:textId="77777777" w:rsidR="00E95F89" w:rsidRPr="00AF4676" w:rsidRDefault="00E95F89" w:rsidP="009B5697">
      <w:pPr>
        <w:jc w:val="both"/>
        <w:rPr>
          <w:sz w:val="22"/>
        </w:rPr>
      </w:pPr>
    </w:p>
    <w:p w14:paraId="66715F1E" w14:textId="77777777" w:rsidR="00215679" w:rsidRDefault="00E95F89" w:rsidP="009B5697">
      <w:pPr>
        <w:ind w:left="720" w:hanging="720"/>
        <w:jc w:val="both"/>
        <w:rPr>
          <w:sz w:val="22"/>
        </w:rPr>
      </w:pPr>
      <w:r w:rsidRPr="00AF4676">
        <w:rPr>
          <w:sz w:val="22"/>
        </w:rPr>
        <w:t xml:space="preserve">Holmes, O.  </w:t>
      </w:r>
      <w:proofErr w:type="gramStart"/>
      <w:r w:rsidRPr="00AF4676">
        <w:rPr>
          <w:sz w:val="22"/>
        </w:rPr>
        <w:t>“Natural Law.”</w:t>
      </w:r>
      <w:proofErr w:type="gramEnd"/>
      <w:r w:rsidRPr="00AF4676">
        <w:rPr>
          <w:sz w:val="22"/>
        </w:rPr>
        <w:t xml:space="preserve">  </w:t>
      </w:r>
      <w:proofErr w:type="gramStart"/>
      <w:r w:rsidRPr="00AF4676">
        <w:rPr>
          <w:i/>
          <w:iCs/>
          <w:sz w:val="22"/>
        </w:rPr>
        <w:t>The Holmes Reader.</w:t>
      </w:r>
      <w:proofErr w:type="gramEnd"/>
      <w:r w:rsidRPr="00AF4676">
        <w:rPr>
          <w:sz w:val="22"/>
        </w:rPr>
        <w:t xml:space="preserve">  Dobbs Ferry: Oceana Publications, Inc., 1964.  </w:t>
      </w:r>
    </w:p>
    <w:p w14:paraId="66715F1F" w14:textId="77777777" w:rsidR="00E95F89" w:rsidRPr="00AF4676" w:rsidRDefault="00E95F89" w:rsidP="009B5697">
      <w:pPr>
        <w:ind w:left="720" w:hanging="720"/>
        <w:jc w:val="both"/>
        <w:rPr>
          <w:sz w:val="22"/>
        </w:rPr>
      </w:pPr>
      <w:r w:rsidRPr="00AF4676">
        <w:rPr>
          <w:sz w:val="22"/>
        </w:rPr>
        <w:t>Pp. 81-84.</w:t>
      </w:r>
    </w:p>
    <w:p w14:paraId="66715F20" w14:textId="77777777" w:rsidR="00E95F89" w:rsidRPr="00AF4676" w:rsidRDefault="00E95F89" w:rsidP="009B5697">
      <w:pPr>
        <w:jc w:val="both"/>
        <w:rPr>
          <w:sz w:val="22"/>
        </w:rPr>
      </w:pPr>
    </w:p>
    <w:p w14:paraId="66715F21" w14:textId="77777777" w:rsidR="00215679" w:rsidRDefault="00E95F89" w:rsidP="009B5697">
      <w:pPr>
        <w:ind w:left="720" w:hanging="720"/>
        <w:jc w:val="both"/>
        <w:rPr>
          <w:sz w:val="22"/>
        </w:rPr>
      </w:pPr>
      <w:proofErr w:type="spellStart"/>
      <w:r w:rsidRPr="00AF4676">
        <w:rPr>
          <w:sz w:val="22"/>
        </w:rPr>
        <w:t>Hommes</w:t>
      </w:r>
      <w:proofErr w:type="spellEnd"/>
      <w:r w:rsidRPr="00AF4676">
        <w:rPr>
          <w:sz w:val="22"/>
        </w:rPr>
        <w:t xml:space="preserve">, H.J. van </w:t>
      </w:r>
      <w:proofErr w:type="spellStart"/>
      <w:r w:rsidRPr="00AF4676">
        <w:rPr>
          <w:sz w:val="22"/>
        </w:rPr>
        <w:t>Eikema</w:t>
      </w:r>
      <w:proofErr w:type="spellEnd"/>
      <w:r w:rsidRPr="00AF4676">
        <w:rPr>
          <w:sz w:val="22"/>
        </w:rPr>
        <w:t xml:space="preserve">. </w:t>
      </w:r>
      <w:proofErr w:type="gramStart"/>
      <w:r w:rsidRPr="00AF4676">
        <w:rPr>
          <w:i/>
          <w:iCs/>
          <w:sz w:val="22"/>
        </w:rPr>
        <w:t>Major Trends in the History of Legal Philosophy</w:t>
      </w:r>
      <w:r w:rsidRPr="00AF4676">
        <w:rPr>
          <w:sz w:val="22"/>
        </w:rPr>
        <w:t>.</w:t>
      </w:r>
      <w:proofErr w:type="gramEnd"/>
      <w:r w:rsidRPr="00AF4676">
        <w:rPr>
          <w:sz w:val="22"/>
        </w:rPr>
        <w:t xml:space="preserve">  Amsterdam:  </w:t>
      </w:r>
    </w:p>
    <w:p w14:paraId="66715F22" w14:textId="77777777" w:rsidR="00E95F89" w:rsidRPr="00AF4676" w:rsidRDefault="00E95F89" w:rsidP="009B5697">
      <w:pPr>
        <w:ind w:left="720" w:hanging="720"/>
        <w:jc w:val="both"/>
        <w:rPr>
          <w:sz w:val="22"/>
        </w:rPr>
      </w:pPr>
      <w:r w:rsidRPr="00AF4676">
        <w:rPr>
          <w:sz w:val="22"/>
        </w:rPr>
        <w:t>North-Holland Publishing Company, 1979.</w:t>
      </w:r>
    </w:p>
    <w:p w14:paraId="66715F23" w14:textId="77777777" w:rsidR="00E95F89" w:rsidRPr="00AF4676" w:rsidRDefault="00E95F89" w:rsidP="009B5697">
      <w:pPr>
        <w:jc w:val="both"/>
        <w:rPr>
          <w:sz w:val="22"/>
        </w:rPr>
      </w:pPr>
    </w:p>
    <w:p w14:paraId="66715F24" w14:textId="77777777" w:rsidR="00215679" w:rsidRDefault="00675742" w:rsidP="009B5697">
      <w:pPr>
        <w:ind w:left="720" w:hanging="720"/>
        <w:jc w:val="both"/>
        <w:rPr>
          <w:sz w:val="22"/>
        </w:rPr>
      </w:pPr>
      <w:proofErr w:type="spellStart"/>
      <w:r w:rsidRPr="00AF4676">
        <w:rPr>
          <w:sz w:val="22"/>
        </w:rPr>
        <w:t>Kuyper</w:t>
      </w:r>
      <w:proofErr w:type="spellEnd"/>
      <w:r w:rsidRPr="00AF4676">
        <w:rPr>
          <w:sz w:val="22"/>
        </w:rPr>
        <w:t xml:space="preserve">, Abraham. </w:t>
      </w:r>
      <w:proofErr w:type="gramStart"/>
      <w:r w:rsidRPr="00AF4676">
        <w:rPr>
          <w:i/>
          <w:sz w:val="22"/>
        </w:rPr>
        <w:t>Lectures on Calvinism</w:t>
      </w:r>
      <w:r w:rsidRPr="00AF4676">
        <w:rPr>
          <w:sz w:val="22"/>
        </w:rPr>
        <w:t>.</w:t>
      </w:r>
      <w:proofErr w:type="gramEnd"/>
      <w:r w:rsidRPr="00AF4676">
        <w:rPr>
          <w:sz w:val="22"/>
        </w:rPr>
        <w:t xml:space="preserve">  Grand Rapids: Wm. B. Eerdmans Publishing Co., </w:t>
      </w:r>
    </w:p>
    <w:p w14:paraId="66715F25" w14:textId="77777777" w:rsidR="00675742" w:rsidRPr="00AF4676" w:rsidRDefault="00675742" w:rsidP="009B5697">
      <w:pPr>
        <w:ind w:left="720" w:hanging="720"/>
        <w:jc w:val="both"/>
        <w:rPr>
          <w:sz w:val="22"/>
        </w:rPr>
      </w:pPr>
      <w:r w:rsidRPr="00AF4676">
        <w:rPr>
          <w:sz w:val="22"/>
        </w:rPr>
        <w:t>1943.</w:t>
      </w:r>
    </w:p>
    <w:p w14:paraId="66715F26" w14:textId="77777777" w:rsidR="00675742" w:rsidRPr="00AF4676" w:rsidRDefault="00675742" w:rsidP="009B5697">
      <w:pPr>
        <w:ind w:left="720" w:hanging="720"/>
        <w:jc w:val="both"/>
        <w:rPr>
          <w:rFonts w:ascii="Times-Roman" w:hAnsi="Times-Roman" w:cs="Times-Roman"/>
          <w:sz w:val="22"/>
          <w:szCs w:val="17"/>
        </w:rPr>
      </w:pPr>
    </w:p>
    <w:p w14:paraId="66715F27" w14:textId="77777777" w:rsidR="00215679" w:rsidRDefault="00E95F89" w:rsidP="009B5697">
      <w:pPr>
        <w:ind w:left="720" w:hanging="720"/>
        <w:jc w:val="both"/>
        <w:rPr>
          <w:sz w:val="22"/>
        </w:rPr>
      </w:pPr>
      <w:r w:rsidRPr="00AF4676">
        <w:rPr>
          <w:sz w:val="22"/>
        </w:rPr>
        <w:t xml:space="preserve">Llewellyn, K.N.  </w:t>
      </w:r>
      <w:proofErr w:type="gramStart"/>
      <w:r w:rsidRPr="00AF4676">
        <w:rPr>
          <w:sz w:val="22"/>
        </w:rPr>
        <w:t>“On Philosophy in American Law.”</w:t>
      </w:r>
      <w:proofErr w:type="gramEnd"/>
      <w:r w:rsidRPr="00AF4676">
        <w:rPr>
          <w:sz w:val="22"/>
        </w:rPr>
        <w:t xml:space="preserve">  </w:t>
      </w:r>
      <w:r w:rsidRPr="00AF4676">
        <w:rPr>
          <w:i/>
          <w:iCs/>
          <w:sz w:val="22"/>
        </w:rPr>
        <w:t>Univ. Pa. Law Review</w:t>
      </w:r>
      <w:r w:rsidRPr="00AF4676">
        <w:rPr>
          <w:sz w:val="22"/>
        </w:rPr>
        <w:t xml:space="preserve"> 82:3 (1934):  205-</w:t>
      </w:r>
    </w:p>
    <w:p w14:paraId="66715F28" w14:textId="77777777" w:rsidR="00E95F89" w:rsidRPr="00AF4676" w:rsidRDefault="00E95F89" w:rsidP="009B5697">
      <w:pPr>
        <w:ind w:left="720" w:hanging="720"/>
        <w:jc w:val="both"/>
        <w:rPr>
          <w:sz w:val="22"/>
        </w:rPr>
      </w:pPr>
      <w:r w:rsidRPr="00AF4676">
        <w:rPr>
          <w:sz w:val="22"/>
        </w:rPr>
        <w:t>12.</w:t>
      </w:r>
    </w:p>
    <w:p w14:paraId="66715F29" w14:textId="77777777" w:rsidR="00E95F89" w:rsidRPr="00AF4676" w:rsidRDefault="00E95F89" w:rsidP="009B5697">
      <w:pPr>
        <w:ind w:left="720" w:hanging="720"/>
        <w:jc w:val="both"/>
        <w:rPr>
          <w:sz w:val="22"/>
        </w:rPr>
      </w:pPr>
    </w:p>
    <w:p w14:paraId="66715F2A" w14:textId="77777777" w:rsidR="00215679" w:rsidRDefault="00E95F89" w:rsidP="009B5697">
      <w:pPr>
        <w:ind w:left="720" w:hanging="720"/>
        <w:jc w:val="both"/>
        <w:rPr>
          <w:sz w:val="22"/>
        </w:rPr>
      </w:pPr>
      <w:r w:rsidRPr="00AF4676">
        <w:rPr>
          <w:sz w:val="22"/>
        </w:rPr>
        <w:t xml:space="preserve">“Some Realism </w:t>
      </w:r>
      <w:proofErr w:type="gramStart"/>
      <w:r w:rsidRPr="00AF4676">
        <w:rPr>
          <w:sz w:val="22"/>
        </w:rPr>
        <w:t>About</w:t>
      </w:r>
      <w:proofErr w:type="gramEnd"/>
      <w:r w:rsidRPr="00AF4676">
        <w:rPr>
          <w:sz w:val="22"/>
        </w:rPr>
        <w:t xml:space="preserve"> Realism – Responding to Dean Pound.”  </w:t>
      </w:r>
      <w:r w:rsidRPr="00AF4676">
        <w:rPr>
          <w:i/>
          <w:iCs/>
          <w:sz w:val="22"/>
        </w:rPr>
        <w:t>Harvard Law Review</w:t>
      </w:r>
      <w:r w:rsidRPr="00AF4676">
        <w:rPr>
          <w:sz w:val="22"/>
        </w:rPr>
        <w:t xml:space="preserve"> 44 (1931): </w:t>
      </w:r>
    </w:p>
    <w:p w14:paraId="66715F2B" w14:textId="77777777" w:rsidR="00E95F89" w:rsidRPr="00AF4676" w:rsidRDefault="00E95F89" w:rsidP="009B5697">
      <w:pPr>
        <w:ind w:left="720" w:hanging="720"/>
        <w:jc w:val="both"/>
        <w:rPr>
          <w:sz w:val="22"/>
        </w:rPr>
      </w:pPr>
      <w:proofErr w:type="gramStart"/>
      <w:r w:rsidRPr="00AF4676">
        <w:rPr>
          <w:sz w:val="22"/>
        </w:rPr>
        <w:t>1222-56.</w:t>
      </w:r>
      <w:proofErr w:type="gramEnd"/>
    </w:p>
    <w:p w14:paraId="66715F2C" w14:textId="77777777" w:rsidR="00E95F89" w:rsidRPr="00AF4676" w:rsidRDefault="00E95F89" w:rsidP="009B5697">
      <w:pPr>
        <w:jc w:val="both"/>
        <w:rPr>
          <w:sz w:val="22"/>
        </w:rPr>
      </w:pPr>
    </w:p>
    <w:p w14:paraId="66715F2D" w14:textId="77777777" w:rsidR="00215679" w:rsidRDefault="00E95F89" w:rsidP="009B5697">
      <w:pPr>
        <w:ind w:left="720" w:hanging="720"/>
        <w:jc w:val="both"/>
        <w:rPr>
          <w:sz w:val="22"/>
        </w:rPr>
      </w:pPr>
      <w:proofErr w:type="spellStart"/>
      <w:r w:rsidRPr="00AF4676">
        <w:rPr>
          <w:sz w:val="22"/>
        </w:rPr>
        <w:t>Wolterstorff</w:t>
      </w:r>
      <w:proofErr w:type="spellEnd"/>
      <w:r w:rsidRPr="00AF4676">
        <w:rPr>
          <w:sz w:val="22"/>
        </w:rPr>
        <w:t xml:space="preserve">, Nicholas.  </w:t>
      </w:r>
      <w:r w:rsidRPr="00AF4676">
        <w:rPr>
          <w:i/>
          <w:iCs/>
          <w:sz w:val="22"/>
        </w:rPr>
        <w:t xml:space="preserve">Reason </w:t>
      </w:r>
      <w:proofErr w:type="gramStart"/>
      <w:r w:rsidRPr="00AF4676">
        <w:rPr>
          <w:i/>
          <w:iCs/>
          <w:sz w:val="22"/>
        </w:rPr>
        <w:t>Within</w:t>
      </w:r>
      <w:proofErr w:type="gramEnd"/>
      <w:r w:rsidRPr="00AF4676">
        <w:rPr>
          <w:i/>
          <w:iCs/>
          <w:sz w:val="22"/>
        </w:rPr>
        <w:t xml:space="preserve"> the Bounds of Religion</w:t>
      </w:r>
      <w:r w:rsidRPr="00AF4676">
        <w:rPr>
          <w:sz w:val="22"/>
        </w:rPr>
        <w:t xml:space="preserve">.  Grand Rapids: William B. </w:t>
      </w:r>
    </w:p>
    <w:p w14:paraId="66715F2E" w14:textId="77777777" w:rsidR="00E95F89" w:rsidRPr="00AF4676" w:rsidRDefault="00E95F89" w:rsidP="009B5697">
      <w:pPr>
        <w:ind w:left="720" w:hanging="720"/>
        <w:jc w:val="both"/>
        <w:rPr>
          <w:sz w:val="22"/>
        </w:rPr>
      </w:pPr>
      <w:proofErr w:type="spellStart"/>
      <w:r w:rsidRPr="00AF4676">
        <w:rPr>
          <w:sz w:val="22"/>
        </w:rPr>
        <w:t>Eerdman’s</w:t>
      </w:r>
      <w:proofErr w:type="spellEnd"/>
      <w:r w:rsidRPr="00AF4676">
        <w:rPr>
          <w:sz w:val="22"/>
        </w:rPr>
        <w:t xml:space="preserve"> </w:t>
      </w:r>
      <w:proofErr w:type="gramStart"/>
      <w:r w:rsidRPr="00AF4676">
        <w:rPr>
          <w:sz w:val="22"/>
        </w:rPr>
        <w:t>Publishing</w:t>
      </w:r>
      <w:proofErr w:type="gramEnd"/>
      <w:r w:rsidRPr="00AF4676">
        <w:rPr>
          <w:sz w:val="22"/>
        </w:rPr>
        <w:t xml:space="preserve"> Co., 1976.</w:t>
      </w:r>
    </w:p>
    <w:p w14:paraId="66715F2F" w14:textId="77777777" w:rsidR="004E5727" w:rsidRPr="00AF4676" w:rsidRDefault="004E5727" w:rsidP="009B5697">
      <w:pPr>
        <w:ind w:left="720" w:hanging="720"/>
        <w:jc w:val="both"/>
        <w:rPr>
          <w:sz w:val="22"/>
        </w:rPr>
      </w:pPr>
    </w:p>
    <w:p w14:paraId="66715F30" w14:textId="77777777" w:rsidR="00215679" w:rsidRDefault="004E5727" w:rsidP="009B5697">
      <w:pPr>
        <w:ind w:left="720" w:hanging="720"/>
        <w:jc w:val="both"/>
        <w:rPr>
          <w:i/>
          <w:sz w:val="22"/>
        </w:rPr>
      </w:pPr>
      <w:r w:rsidRPr="00AF4676">
        <w:rPr>
          <w:sz w:val="22"/>
        </w:rPr>
        <w:t xml:space="preserve">“Abraham </w:t>
      </w:r>
      <w:proofErr w:type="spellStart"/>
      <w:r w:rsidRPr="00AF4676">
        <w:rPr>
          <w:sz w:val="22"/>
        </w:rPr>
        <w:t>Kuyper</w:t>
      </w:r>
      <w:proofErr w:type="spellEnd"/>
      <w:r w:rsidRPr="00AF4676">
        <w:rPr>
          <w:sz w:val="22"/>
        </w:rPr>
        <w:t xml:space="preserve">.” In </w:t>
      </w:r>
      <w:r w:rsidRPr="00AF4676">
        <w:rPr>
          <w:i/>
          <w:sz w:val="22"/>
        </w:rPr>
        <w:t xml:space="preserve">The Teachings of Modern Christianity on Law, Politics, and Human </w:t>
      </w:r>
    </w:p>
    <w:p w14:paraId="66715F31" w14:textId="77777777" w:rsidR="004E5727" w:rsidRPr="00AF4676" w:rsidRDefault="004E5727" w:rsidP="009B5697">
      <w:pPr>
        <w:ind w:left="720" w:hanging="720"/>
        <w:jc w:val="both"/>
        <w:rPr>
          <w:i/>
          <w:sz w:val="22"/>
        </w:rPr>
      </w:pPr>
      <w:proofErr w:type="gramStart"/>
      <w:r w:rsidRPr="00AF4676">
        <w:rPr>
          <w:i/>
          <w:sz w:val="22"/>
        </w:rPr>
        <w:t>Nature.</w:t>
      </w:r>
      <w:proofErr w:type="gramEnd"/>
      <w:r w:rsidRPr="00AF4676">
        <w:rPr>
          <w:i/>
          <w:sz w:val="22"/>
        </w:rPr>
        <w:t xml:space="preserve">  </w:t>
      </w:r>
      <w:proofErr w:type="gramStart"/>
      <w:r w:rsidRPr="00AF4676">
        <w:rPr>
          <w:sz w:val="22"/>
        </w:rPr>
        <w:t>Ed. J. Witte &amp; F. Alexander.</w:t>
      </w:r>
      <w:proofErr w:type="gramEnd"/>
      <w:r w:rsidRPr="00AF4676">
        <w:rPr>
          <w:sz w:val="22"/>
        </w:rPr>
        <w:t xml:space="preserve">  New York: Columbia Univ. Press, 2006.</w:t>
      </w:r>
    </w:p>
    <w:p w14:paraId="66715F32" w14:textId="77777777" w:rsidR="00B16B2F" w:rsidRPr="00AF4676" w:rsidRDefault="00B16B2F" w:rsidP="009B5697">
      <w:pPr>
        <w:jc w:val="both"/>
        <w:rPr>
          <w:sz w:val="22"/>
        </w:rPr>
      </w:pPr>
    </w:p>
    <w:sectPr w:rsidR="00B16B2F" w:rsidRPr="00AF4676" w:rsidSect="00392A2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6308F" w14:textId="77777777" w:rsidR="00E53E20" w:rsidRDefault="00E53E20" w:rsidP="009542BF">
      <w:r>
        <w:separator/>
      </w:r>
    </w:p>
  </w:endnote>
  <w:endnote w:type="continuationSeparator" w:id="0">
    <w:p w14:paraId="7E366EC3" w14:textId="77777777" w:rsidR="00E53E20" w:rsidRDefault="00E53E20" w:rsidP="0095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419BF" w14:textId="77777777" w:rsidR="00E53E20" w:rsidRDefault="00E53E20" w:rsidP="009542BF">
      <w:r>
        <w:separator/>
      </w:r>
    </w:p>
  </w:footnote>
  <w:footnote w:type="continuationSeparator" w:id="0">
    <w:p w14:paraId="4453ABC5" w14:textId="77777777" w:rsidR="00E53E20" w:rsidRDefault="00E53E20" w:rsidP="00954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EC7F" w14:textId="18A1FE91" w:rsidR="009542BF" w:rsidRDefault="009542BF">
    <w:pPr>
      <w:pStyle w:val="Header"/>
    </w:pPr>
    <w:r w:rsidRPr="009542BF">
      <w:t xml:space="preserve">International Journal of Multi Aspectual Practice, Issue. 1, </w:t>
    </w:r>
    <w:r>
      <w:t>N</w:t>
    </w:r>
    <w:r w:rsidRPr="009542BF">
      <w:t>o. 1 (May 2011)</w:t>
    </w:r>
  </w:p>
  <w:p w14:paraId="12702614" w14:textId="27BC8D5C" w:rsidR="009542BF" w:rsidRDefault="00CA2F12">
    <w:pPr>
      <w:pStyle w:val="Header"/>
    </w:pPr>
    <w:r w:rsidRPr="00CA2F12">
      <w:t>http://chimera69.essex.ac.uk/IJMAP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2F"/>
    <w:rsid w:val="0003591D"/>
    <w:rsid w:val="000576F4"/>
    <w:rsid w:val="000847F1"/>
    <w:rsid w:val="000A7F24"/>
    <w:rsid w:val="00172815"/>
    <w:rsid w:val="001B6DCF"/>
    <w:rsid w:val="00215679"/>
    <w:rsid w:val="003674FF"/>
    <w:rsid w:val="00382849"/>
    <w:rsid w:val="00386DC9"/>
    <w:rsid w:val="00392A2A"/>
    <w:rsid w:val="00421B42"/>
    <w:rsid w:val="004E346E"/>
    <w:rsid w:val="004E5727"/>
    <w:rsid w:val="00506528"/>
    <w:rsid w:val="0052387D"/>
    <w:rsid w:val="00544E6A"/>
    <w:rsid w:val="00675742"/>
    <w:rsid w:val="00680C7B"/>
    <w:rsid w:val="006C0333"/>
    <w:rsid w:val="006E61CE"/>
    <w:rsid w:val="007150F6"/>
    <w:rsid w:val="00773EEF"/>
    <w:rsid w:val="007A4C87"/>
    <w:rsid w:val="007B224A"/>
    <w:rsid w:val="007D62FD"/>
    <w:rsid w:val="008443A5"/>
    <w:rsid w:val="008876C9"/>
    <w:rsid w:val="008C6940"/>
    <w:rsid w:val="009139F1"/>
    <w:rsid w:val="009542BF"/>
    <w:rsid w:val="00980047"/>
    <w:rsid w:val="009856A7"/>
    <w:rsid w:val="009928D0"/>
    <w:rsid w:val="009B5697"/>
    <w:rsid w:val="009D68ED"/>
    <w:rsid w:val="009F4E6A"/>
    <w:rsid w:val="00A8040D"/>
    <w:rsid w:val="00AF4676"/>
    <w:rsid w:val="00B019F6"/>
    <w:rsid w:val="00B16B2F"/>
    <w:rsid w:val="00BB32B8"/>
    <w:rsid w:val="00BB59C8"/>
    <w:rsid w:val="00BB5AF2"/>
    <w:rsid w:val="00BB77BE"/>
    <w:rsid w:val="00BC1915"/>
    <w:rsid w:val="00BC1A05"/>
    <w:rsid w:val="00C469B9"/>
    <w:rsid w:val="00C60A5E"/>
    <w:rsid w:val="00C747E5"/>
    <w:rsid w:val="00CA2F12"/>
    <w:rsid w:val="00CF2374"/>
    <w:rsid w:val="00D433D1"/>
    <w:rsid w:val="00D824CA"/>
    <w:rsid w:val="00E53E20"/>
    <w:rsid w:val="00E91D1E"/>
    <w:rsid w:val="00E95F89"/>
    <w:rsid w:val="00EC508A"/>
    <w:rsid w:val="00F74DDD"/>
    <w:rsid w:val="00FE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1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A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2BF"/>
    <w:pPr>
      <w:tabs>
        <w:tab w:val="center" w:pos="4513"/>
        <w:tab w:val="right" w:pos="9026"/>
      </w:tabs>
    </w:pPr>
  </w:style>
  <w:style w:type="character" w:customStyle="1" w:styleId="HeaderChar">
    <w:name w:val="Header Char"/>
    <w:basedOn w:val="DefaultParagraphFont"/>
    <w:link w:val="Header"/>
    <w:uiPriority w:val="99"/>
    <w:rsid w:val="009542BF"/>
    <w:rPr>
      <w:sz w:val="24"/>
      <w:szCs w:val="24"/>
    </w:rPr>
  </w:style>
  <w:style w:type="paragraph" w:styleId="Footer">
    <w:name w:val="footer"/>
    <w:basedOn w:val="Normal"/>
    <w:link w:val="FooterChar"/>
    <w:rsid w:val="009542BF"/>
    <w:pPr>
      <w:tabs>
        <w:tab w:val="center" w:pos="4513"/>
        <w:tab w:val="right" w:pos="9026"/>
      </w:tabs>
    </w:pPr>
  </w:style>
  <w:style w:type="character" w:customStyle="1" w:styleId="FooterChar">
    <w:name w:val="Footer Char"/>
    <w:basedOn w:val="DefaultParagraphFont"/>
    <w:link w:val="Footer"/>
    <w:rsid w:val="009542BF"/>
    <w:rPr>
      <w:sz w:val="24"/>
      <w:szCs w:val="24"/>
    </w:rPr>
  </w:style>
  <w:style w:type="paragraph" w:styleId="BalloonText">
    <w:name w:val="Balloon Text"/>
    <w:basedOn w:val="Normal"/>
    <w:link w:val="BalloonTextChar"/>
    <w:rsid w:val="009542BF"/>
    <w:rPr>
      <w:rFonts w:ascii="Tahoma" w:hAnsi="Tahoma" w:cs="Tahoma"/>
      <w:sz w:val="16"/>
      <w:szCs w:val="16"/>
    </w:rPr>
  </w:style>
  <w:style w:type="character" w:customStyle="1" w:styleId="BalloonTextChar">
    <w:name w:val="Balloon Text Char"/>
    <w:basedOn w:val="DefaultParagraphFont"/>
    <w:link w:val="BalloonText"/>
    <w:rsid w:val="00954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A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2BF"/>
    <w:pPr>
      <w:tabs>
        <w:tab w:val="center" w:pos="4513"/>
        <w:tab w:val="right" w:pos="9026"/>
      </w:tabs>
    </w:pPr>
  </w:style>
  <w:style w:type="character" w:customStyle="1" w:styleId="HeaderChar">
    <w:name w:val="Header Char"/>
    <w:basedOn w:val="DefaultParagraphFont"/>
    <w:link w:val="Header"/>
    <w:uiPriority w:val="99"/>
    <w:rsid w:val="009542BF"/>
    <w:rPr>
      <w:sz w:val="24"/>
      <w:szCs w:val="24"/>
    </w:rPr>
  </w:style>
  <w:style w:type="paragraph" w:styleId="Footer">
    <w:name w:val="footer"/>
    <w:basedOn w:val="Normal"/>
    <w:link w:val="FooterChar"/>
    <w:rsid w:val="009542BF"/>
    <w:pPr>
      <w:tabs>
        <w:tab w:val="center" w:pos="4513"/>
        <w:tab w:val="right" w:pos="9026"/>
      </w:tabs>
    </w:pPr>
  </w:style>
  <w:style w:type="character" w:customStyle="1" w:styleId="FooterChar">
    <w:name w:val="Footer Char"/>
    <w:basedOn w:val="DefaultParagraphFont"/>
    <w:link w:val="Footer"/>
    <w:rsid w:val="009542BF"/>
    <w:rPr>
      <w:sz w:val="24"/>
      <w:szCs w:val="24"/>
    </w:rPr>
  </w:style>
  <w:style w:type="paragraph" w:styleId="BalloonText">
    <w:name w:val="Balloon Text"/>
    <w:basedOn w:val="Normal"/>
    <w:link w:val="BalloonTextChar"/>
    <w:rsid w:val="009542BF"/>
    <w:rPr>
      <w:rFonts w:ascii="Tahoma" w:hAnsi="Tahoma" w:cs="Tahoma"/>
      <w:sz w:val="16"/>
      <w:szCs w:val="16"/>
    </w:rPr>
  </w:style>
  <w:style w:type="character" w:customStyle="1" w:styleId="BalloonTextChar">
    <w:name w:val="Balloon Text Char"/>
    <w:basedOn w:val="DefaultParagraphFont"/>
    <w:link w:val="BalloonText"/>
    <w:rsid w:val="00954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BFFD-2E87-44D6-ABBB-804B5BF7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3755</Words>
  <Characters>21406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Villanova Law School</Company>
  <LinksUpToDate>false</LinksUpToDate>
  <CharactersWithSpaces>25111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Stanley Caudill</dc:creator>
  <cp:lastModifiedBy>Kamaran</cp:lastModifiedBy>
  <cp:revision>3</cp:revision>
  <cp:lastPrinted>2011-03-22T10:36:00Z</cp:lastPrinted>
  <dcterms:created xsi:type="dcterms:W3CDTF">2011-05-16T18:06:00Z</dcterms:created>
  <dcterms:modified xsi:type="dcterms:W3CDTF">2011-05-16T18:16:00Z</dcterms:modified>
</cp:coreProperties>
</file>